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2E924B" w14:textId="3AEB4EA3" w:rsidR="0034463A" w:rsidRDefault="0034463A" w:rsidP="00CB24C7">
      <w:pPr>
        <w:ind w:left="708" w:hanging="708"/>
        <w:rPr>
          <w:rFonts w:ascii="Arial" w:hAnsi="Arial" w:cs="Arial"/>
        </w:rPr>
      </w:pPr>
    </w:p>
    <w:sdt>
      <w:sdtPr>
        <w:rPr>
          <w:rFonts w:ascii="Arial" w:hAnsi="Arial" w:cs="Arial"/>
        </w:rPr>
        <w:id w:val="-1899897456"/>
        <w:docPartObj>
          <w:docPartGallery w:val="Cover Pages"/>
          <w:docPartUnique/>
        </w:docPartObj>
      </w:sdtPr>
      <w:sdtEndPr>
        <w:rPr>
          <w:sz w:val="18"/>
          <w:szCs w:val="18"/>
        </w:rPr>
      </w:sdtEndPr>
      <w:sdtContent>
        <w:p w14:paraId="5D1BD4E5" w14:textId="0E157B79" w:rsidR="001F6412" w:rsidRPr="00CB24C7" w:rsidRDefault="001F6412" w:rsidP="00CB24C7">
          <w:pPr>
            <w:ind w:left="708" w:hanging="708"/>
            <w:rPr>
              <w:rFonts w:ascii="Arial" w:hAnsi="Arial" w:cs="Arial"/>
            </w:rPr>
          </w:pPr>
          <w:r w:rsidRPr="00CB24C7">
            <w:rPr>
              <w:rFonts w:ascii="Arial" w:hAnsi="Arial" w:cs="Arial"/>
              <w:noProof/>
              <w:lang w:eastAsia="es-CO"/>
            </w:rPr>
            <mc:AlternateContent>
              <mc:Choice Requires="wpg">
                <w:drawing>
                  <wp:anchor distT="0" distB="0" distL="114300" distR="114300" simplePos="0" relativeHeight="251668480" behindDoc="1" locked="0" layoutInCell="1" allowOverlap="1" wp14:anchorId="0FC33B3F" wp14:editId="23559889">
                    <wp:simplePos x="0" y="0"/>
                    <wp:positionH relativeFrom="page">
                      <wp:align>center</wp:align>
                    </wp:positionH>
                    <wp:positionV relativeFrom="page">
                      <wp:align>center</wp:align>
                    </wp:positionV>
                    <wp:extent cx="6858000" cy="9271750"/>
                    <wp:effectExtent l="0" t="0" r="0" b="5715"/>
                    <wp:wrapNone/>
                    <wp:docPr id="119" name="Grupo 119"/>
                    <wp:cNvGraphicFramePr/>
                    <a:graphic xmlns:a="http://schemas.openxmlformats.org/drawingml/2006/main">
                      <a:graphicData uri="http://schemas.microsoft.com/office/word/2010/wordprocessingGroup">
                        <wpg:wgp>
                          <wpg:cNvGrpSpPr/>
                          <wpg:grpSpPr>
                            <a:xfrm>
                              <a:off x="0" y="0"/>
                              <a:ext cx="6858000" cy="9271750"/>
                              <a:chOff x="0" y="0"/>
                              <a:chExt cx="6858000" cy="9271750"/>
                            </a:xfrm>
                          </wpg:grpSpPr>
                          <wps:wsp>
                            <wps:cNvPr id="120" name="Rectángulo 120"/>
                            <wps:cNvSpPr/>
                            <wps:spPr>
                              <a:xfrm>
                                <a:off x="0" y="7315200"/>
                                <a:ext cx="6858000" cy="143182"/>
                              </a:xfrm>
                              <a:prstGeom prst="rect">
                                <a:avLst/>
                              </a:prstGeom>
                              <a:solidFill>
                                <a:schemeClr val="accent4">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Rectángulo 121"/>
                            <wps:cNvSpPr/>
                            <wps:spPr>
                              <a:xfrm>
                                <a:off x="0" y="7439025"/>
                                <a:ext cx="6858000" cy="1832725"/>
                              </a:xfrm>
                              <a:prstGeom prst="rect">
                                <a:avLst/>
                              </a:prstGeom>
                              <a:solidFill>
                                <a:schemeClr val="accent4">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8BFBF2E" w14:textId="77777777" w:rsidR="00F5604F" w:rsidRPr="001F6412" w:rsidRDefault="00F5604F" w:rsidP="001F6412">
                                  <w:pPr>
                                    <w:pStyle w:val="Sinespaciado"/>
                                    <w:rPr>
                                      <w:color w:val="FFFFFF" w:themeColor="background1"/>
                                      <w:sz w:val="32"/>
                                      <w:szCs w:val="32"/>
                                    </w:rPr>
                                  </w:pPr>
                                  <w:r w:rsidRPr="001F6412">
                                    <w:rPr>
                                      <w:color w:val="FFFFFF" w:themeColor="background1"/>
                                      <w:sz w:val="32"/>
                                      <w:szCs w:val="32"/>
                                    </w:rPr>
                                    <w:t>Dirección de Gestión de Bienes Públicos Rurales</w:t>
                                  </w:r>
                                </w:p>
                                <w:p w14:paraId="7F163567" w14:textId="77777777" w:rsidR="00F5604F" w:rsidRPr="001F6412" w:rsidRDefault="00F5604F" w:rsidP="001F6412">
                                  <w:pPr>
                                    <w:pStyle w:val="Sinespaciado"/>
                                    <w:rPr>
                                      <w:color w:val="FFFFFF" w:themeColor="background1"/>
                                      <w:sz w:val="32"/>
                                      <w:szCs w:val="32"/>
                                    </w:rPr>
                                  </w:pPr>
                                  <w:r w:rsidRPr="001F6412">
                                    <w:rPr>
                                      <w:color w:val="FFFFFF" w:themeColor="background1"/>
                                      <w:sz w:val="32"/>
                                      <w:szCs w:val="32"/>
                                    </w:rPr>
                                    <w:t xml:space="preserve">Ministerio de Agricultura y Desarrollo Rural </w:t>
                                  </w:r>
                                </w:p>
                                <w:p w14:paraId="120BADA0" w14:textId="77777777" w:rsidR="00F5604F" w:rsidRPr="001F6412" w:rsidRDefault="00F5604F" w:rsidP="001F6412">
                                  <w:pPr>
                                    <w:pStyle w:val="Sinespaciado"/>
                                    <w:rPr>
                                      <w:color w:val="FFFFFF" w:themeColor="background1"/>
                                      <w:sz w:val="32"/>
                                      <w:szCs w:val="32"/>
                                    </w:rPr>
                                  </w:pPr>
                                </w:p>
                                <w:p w14:paraId="0A94BB94" w14:textId="72399CAF" w:rsidR="00F5604F" w:rsidRDefault="00423995">
                                  <w:pPr>
                                    <w:pStyle w:val="Sinespaciado"/>
                                    <w:rPr>
                                      <w:caps/>
                                      <w:color w:val="FFFFFF" w:themeColor="background1"/>
                                    </w:rPr>
                                  </w:pPr>
                                  <w:r>
                                    <w:rPr>
                                      <w:color w:val="FFFFFF" w:themeColor="background1"/>
                                      <w:sz w:val="32"/>
                                      <w:szCs w:val="32"/>
                                    </w:rPr>
                                    <w:t>Marzo</w:t>
                                  </w:r>
                                  <w:r w:rsidR="00F5604F">
                                    <w:rPr>
                                      <w:color w:val="FFFFFF" w:themeColor="background1"/>
                                      <w:sz w:val="32"/>
                                      <w:szCs w:val="32"/>
                                    </w:rPr>
                                    <w:t>, 202</w:t>
                                  </w:r>
                                  <w:r>
                                    <w:rPr>
                                      <w:color w:val="FFFFFF" w:themeColor="background1"/>
                                      <w:sz w:val="32"/>
                                      <w:szCs w:val="32"/>
                                    </w:rPr>
                                    <w:t>6</w:t>
                                  </w:r>
                                </w:p>
                              </w:txbxContent>
                            </wps:txbx>
                            <wps:bodyPr rot="0" spcFirstLastPara="0" vertOverflow="overflow" horzOverflow="overflow" vert="horz" wrap="square" lIns="457200" tIns="182880" rIns="457200" bIns="457200" numCol="1" spcCol="0" rtlCol="0" fromWordArt="0" anchor="b" anchorCtr="0" forceAA="0" compatLnSpc="1">
                              <a:prstTxWarp prst="textNoShape">
                                <a:avLst/>
                              </a:prstTxWarp>
                              <a:noAutofit/>
                            </wps:bodyPr>
                          </wps:wsp>
                          <wps:wsp>
                            <wps:cNvPr id="122" name="Cuadro de texto 122"/>
                            <wps:cNvSpPr txBox="1"/>
                            <wps:spPr>
                              <a:xfrm>
                                <a:off x="0" y="0"/>
                                <a:ext cx="6858000" cy="357275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b/>
                                      <w:color w:val="595959" w:themeColor="text1" w:themeTint="A6"/>
                                      <w:sz w:val="80"/>
                                      <w:szCs w:val="80"/>
                                    </w:rPr>
                                    <w:alias w:val="Título"/>
                                    <w:tag w:val=""/>
                                    <w:id w:val="-1476986296"/>
                                    <w:dataBinding w:prefixMappings="xmlns:ns0='http://purl.org/dc/elements/1.1/' xmlns:ns1='http://schemas.openxmlformats.org/package/2006/metadata/core-properties' " w:xpath="/ns1:coreProperties[1]/ns0:title[1]" w:storeItemID="{6C3C8BC8-F283-45AE-878A-BAB7291924A1}"/>
                                    <w:text/>
                                  </w:sdtPr>
                                  <w:sdtContent>
                                    <w:p w14:paraId="43F84379" w14:textId="2CB6C194" w:rsidR="00F5604F" w:rsidRPr="00525E58" w:rsidRDefault="0034463A">
                                      <w:pPr>
                                        <w:pStyle w:val="Sinespaciado"/>
                                        <w:pBdr>
                                          <w:bottom w:val="single" w:sz="6" w:space="4" w:color="7F7F7F" w:themeColor="text1" w:themeTint="80"/>
                                        </w:pBdr>
                                        <w:rPr>
                                          <w:rFonts w:asciiTheme="majorHAnsi" w:eastAsiaTheme="majorEastAsia" w:hAnsiTheme="majorHAnsi" w:cstheme="majorBidi"/>
                                          <w:b/>
                                          <w:color w:val="595959" w:themeColor="text1" w:themeTint="A6"/>
                                          <w:sz w:val="80"/>
                                          <w:szCs w:val="80"/>
                                        </w:rPr>
                                      </w:pPr>
                                      <w:r>
                                        <w:rPr>
                                          <w:rFonts w:asciiTheme="majorHAnsi" w:eastAsiaTheme="majorEastAsia" w:hAnsiTheme="majorHAnsi" w:cstheme="majorBidi"/>
                                          <w:b/>
                                          <w:color w:val="595959" w:themeColor="text1" w:themeTint="A6"/>
                                          <w:sz w:val="80"/>
                                          <w:szCs w:val="80"/>
                                        </w:rPr>
                                        <w:t>Informe Trimestral 2025</w:t>
                                      </w:r>
                                    </w:p>
                                  </w:sdtContent>
                                </w:sdt>
                                <w:sdt>
                                  <w:sdtPr>
                                    <w:rPr>
                                      <w:caps/>
                                      <w:noProof/>
                                      <w:color w:val="44546A" w:themeColor="text2"/>
                                      <w:sz w:val="36"/>
                                      <w:szCs w:val="36"/>
                                    </w:rPr>
                                    <w:alias w:val="Subtítulo"/>
                                    <w:tag w:val=""/>
                                    <w:id w:val="157346227"/>
                                    <w:dataBinding w:prefixMappings="xmlns:ns0='http://purl.org/dc/elements/1.1/' xmlns:ns1='http://schemas.openxmlformats.org/package/2006/metadata/core-properties' " w:xpath="/ns1:coreProperties[1]/ns0:subject[1]" w:storeItemID="{6C3C8BC8-F283-45AE-878A-BAB7291924A1}"/>
                                    <w:text/>
                                  </w:sdtPr>
                                  <w:sdtContent>
                                    <w:p w14:paraId="26415F3C" w14:textId="1477B00F" w:rsidR="00F5604F" w:rsidRDefault="006D6CCC" w:rsidP="001F6412">
                                      <w:pPr>
                                        <w:pStyle w:val="Sinespaciado"/>
                                        <w:spacing w:before="240"/>
                                        <w:rPr>
                                          <w:caps/>
                                          <w:color w:val="44546A" w:themeColor="text2"/>
                                          <w:sz w:val="36"/>
                                          <w:szCs w:val="36"/>
                                        </w:rPr>
                                      </w:pPr>
                                      <w:r>
                                        <w:rPr>
                                          <w:caps/>
                                          <w:noProof/>
                                          <w:color w:val="44546A" w:themeColor="text2"/>
                                          <w:sz w:val="36"/>
                                          <w:szCs w:val="36"/>
                                        </w:rPr>
                                        <w:t xml:space="preserve">SEGUIMIENTO AL PROGRAMA DE VIVIENDA DE INTERÉS SOCIAL RURAL. </w:t>
                                      </w:r>
                                      <w:r w:rsidR="0017217B">
                                        <w:rPr>
                                          <w:caps/>
                                          <w:noProof/>
                                          <w:color w:val="44546A" w:themeColor="text2"/>
                                          <w:sz w:val="36"/>
                                          <w:szCs w:val="36"/>
                                        </w:rPr>
                                        <w:t>ENERO 2026</w:t>
                                      </w:r>
                                    </w:p>
                                  </w:sdtContent>
                                </w:sdt>
                              </w:txbxContent>
                            </wps:txbx>
                            <wps:bodyPr rot="0" spcFirstLastPara="0" vertOverflow="overflow" horzOverflow="overflow" vert="horz" wrap="square" lIns="457200" tIns="457200" rIns="457200" bIns="45720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FC33B3F" id="Grupo 119" o:spid="_x0000_s1026" style="position:absolute;left:0;text-align:left;margin-left:0;margin-top:0;width:540pt;height:730.05pt;z-index:-251648000;mso-position-horizontal:center;mso-position-horizontal-relative:page;mso-position-vertical:center;mso-position-vertical-relative:page" coordsize="68580,9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">
                    <v:rect id="Rectángulo 120" o:spid="_x0000_s1027" style="position:absolute;top:73152;width:68580;height:14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" fillcolor="#7f5f00 [1607]" stroked="f" strokeweight="1pt"/>
                    <v:rect id="Rectángulo 121" o:spid="_x0000_s1028" style="position:absolute;top:74390;width:68580;height:1832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" fillcolor="#bf8f00 [2407]" stroked="f" strokeweight="1pt">
                      <v:textbox inset="36pt,14.4pt,36pt,36pt">
                        <w:txbxContent>
                          <w:p w14:paraId="48BFBF2E" w14:textId="77777777" w:rsidR="00F5604F" w:rsidRPr="001F6412" w:rsidRDefault="00F5604F" w:rsidP="001F6412">
                            <w:pPr>
                              <w:pStyle w:val="Sinespaciado"/>
                              <w:rPr>
                                <w:color w:val="FFFFFF" w:themeColor="background1"/>
                                <w:sz w:val="32"/>
                                <w:szCs w:val="32"/>
                              </w:rPr>
                            </w:pPr>
                            <w:r w:rsidRPr="001F6412">
                              <w:rPr>
                                <w:color w:val="FFFFFF" w:themeColor="background1"/>
                                <w:sz w:val="32"/>
                                <w:szCs w:val="32"/>
                              </w:rPr>
                              <w:t>Dirección de Gestión de Bienes Públicos Rurales</w:t>
                            </w:r>
                          </w:p>
                          <w:p w14:paraId="7F163567" w14:textId="77777777" w:rsidR="00F5604F" w:rsidRPr="001F6412" w:rsidRDefault="00F5604F" w:rsidP="001F6412">
                            <w:pPr>
                              <w:pStyle w:val="Sinespaciado"/>
                              <w:rPr>
                                <w:color w:val="FFFFFF" w:themeColor="background1"/>
                                <w:sz w:val="32"/>
                                <w:szCs w:val="32"/>
                              </w:rPr>
                            </w:pPr>
                            <w:r w:rsidRPr="001F6412">
                              <w:rPr>
                                <w:color w:val="FFFFFF" w:themeColor="background1"/>
                                <w:sz w:val="32"/>
                                <w:szCs w:val="32"/>
                              </w:rPr>
                              <w:t xml:space="preserve">Ministerio de Agricultura y Desarrollo Rural </w:t>
                            </w:r>
                          </w:p>
                          <w:p w14:paraId="120BADA0" w14:textId="77777777" w:rsidR="00F5604F" w:rsidRPr="001F6412" w:rsidRDefault="00F5604F" w:rsidP="001F6412">
                            <w:pPr>
                              <w:pStyle w:val="Sinespaciado"/>
                              <w:rPr>
                                <w:color w:val="FFFFFF" w:themeColor="background1"/>
                                <w:sz w:val="32"/>
                                <w:szCs w:val="32"/>
                              </w:rPr>
                            </w:pPr>
                          </w:p>
                          <w:p w14:paraId="0A94BB94" w14:textId="72399CAF" w:rsidR="00F5604F" w:rsidRDefault="00423995">
                            <w:pPr>
                              <w:pStyle w:val="Sinespaciado"/>
                              <w:rPr>
                                <w:caps/>
                                <w:color w:val="FFFFFF" w:themeColor="background1"/>
                              </w:rPr>
                            </w:pPr>
                            <w:r>
                              <w:rPr>
                                <w:color w:val="FFFFFF" w:themeColor="background1"/>
                                <w:sz w:val="32"/>
                                <w:szCs w:val="32"/>
                              </w:rPr>
                              <w:t>Marzo</w:t>
                            </w:r>
                            <w:r w:rsidR="00F5604F">
                              <w:rPr>
                                <w:color w:val="FFFFFF" w:themeColor="background1"/>
                                <w:sz w:val="32"/>
                                <w:szCs w:val="32"/>
                              </w:rPr>
                              <w:t>, 202</w:t>
                            </w:r>
                            <w:r>
                              <w:rPr>
                                <w:color w:val="FFFFFF" w:themeColor="background1"/>
                                <w:sz w:val="32"/>
                                <w:szCs w:val="32"/>
                              </w:rPr>
                              <w:t>6</w:t>
                            </w:r>
                          </w:p>
                        </w:txbxContent>
                      </v:textbox>
                    </v:rect>
                    <v:shapetype id="_x0000_t202" coordsize="21600,21600" o:spt="202" path="m,l,21600r21600,l21600,xe">
                      <v:stroke joinstyle="miter"/>
                      <v:path gradientshapeok="t" o:connecttype="rect"/>
                    </v:shapetype>
                    <v:shape id="Cuadro de texto 122" o:spid="_x0000_s1029" type="#_x0000_t202" style="position:absolute;width:68580;height:357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" filled="f" stroked="f" strokeweight=".5pt">
                      <v:textbox inset="36pt,36pt,36pt,36pt">
                        <w:txbxContent>
                          <w:sdt>
                            <w:sdtPr>
                              <w:rPr>
                                <w:rFonts w:asciiTheme="majorHAnsi" w:eastAsiaTheme="majorEastAsia" w:hAnsiTheme="majorHAnsi" w:cstheme="majorBidi"/>
                                <w:b/>
                                <w:color w:val="595959" w:themeColor="text1" w:themeTint="A6"/>
                                <w:sz w:val="80"/>
                                <w:szCs w:val="80"/>
                              </w:rPr>
                              <w:alias w:val="Título"/>
                              <w:tag w:val=""/>
                              <w:id w:val="-1476986296"/>
                              <w:dataBinding w:prefixMappings="xmlns:ns0='http://purl.org/dc/elements/1.1/' xmlns:ns1='http://schemas.openxmlformats.org/package/2006/metadata/core-properties' " w:xpath="/ns1:coreProperties[1]/ns0:title[1]" w:storeItemID="{6C3C8BC8-F283-45AE-878A-BAB7291924A1}"/>
                              <w:text/>
                            </w:sdtPr>
                            <w:sdtContent>
                              <w:p w14:paraId="43F84379" w14:textId="2CB6C194" w:rsidR="00F5604F" w:rsidRPr="00525E58" w:rsidRDefault="0034463A">
                                <w:pPr>
                                  <w:pStyle w:val="Sinespaciado"/>
                                  <w:pBdr>
                                    <w:bottom w:val="single" w:sz="6" w:space="4" w:color="7F7F7F" w:themeColor="text1" w:themeTint="80"/>
                                  </w:pBdr>
                                  <w:rPr>
                                    <w:rFonts w:asciiTheme="majorHAnsi" w:eastAsiaTheme="majorEastAsia" w:hAnsiTheme="majorHAnsi" w:cstheme="majorBidi"/>
                                    <w:b/>
                                    <w:color w:val="595959" w:themeColor="text1" w:themeTint="A6"/>
                                    <w:sz w:val="80"/>
                                    <w:szCs w:val="80"/>
                                  </w:rPr>
                                </w:pPr>
                                <w:r>
                                  <w:rPr>
                                    <w:rFonts w:asciiTheme="majorHAnsi" w:eastAsiaTheme="majorEastAsia" w:hAnsiTheme="majorHAnsi" w:cstheme="majorBidi"/>
                                    <w:b/>
                                    <w:color w:val="595959" w:themeColor="text1" w:themeTint="A6"/>
                                    <w:sz w:val="80"/>
                                    <w:szCs w:val="80"/>
                                  </w:rPr>
                                  <w:t>Informe Trimestral 2025</w:t>
                                </w:r>
                              </w:p>
                            </w:sdtContent>
                          </w:sdt>
                          <w:sdt>
                            <w:sdtPr>
                              <w:rPr>
                                <w:caps/>
                                <w:noProof/>
                                <w:color w:val="44546A" w:themeColor="text2"/>
                                <w:sz w:val="36"/>
                                <w:szCs w:val="36"/>
                              </w:rPr>
                              <w:alias w:val="Subtítulo"/>
                              <w:tag w:val=""/>
                              <w:id w:val="157346227"/>
                              <w:dataBinding w:prefixMappings="xmlns:ns0='http://purl.org/dc/elements/1.1/' xmlns:ns1='http://schemas.openxmlformats.org/package/2006/metadata/core-properties' " w:xpath="/ns1:coreProperties[1]/ns0:subject[1]" w:storeItemID="{6C3C8BC8-F283-45AE-878A-BAB7291924A1}"/>
                              <w:text/>
                            </w:sdtPr>
                            <w:sdtContent>
                              <w:p w14:paraId="26415F3C" w14:textId="1477B00F" w:rsidR="00F5604F" w:rsidRDefault="006D6CCC" w:rsidP="001F6412">
                                <w:pPr>
                                  <w:pStyle w:val="Sinespaciado"/>
                                  <w:spacing w:before="240"/>
                                  <w:rPr>
                                    <w:caps/>
                                    <w:color w:val="44546A" w:themeColor="text2"/>
                                    <w:sz w:val="36"/>
                                    <w:szCs w:val="36"/>
                                  </w:rPr>
                                </w:pPr>
                                <w:r>
                                  <w:rPr>
                                    <w:caps/>
                                    <w:noProof/>
                                    <w:color w:val="44546A" w:themeColor="text2"/>
                                    <w:sz w:val="36"/>
                                    <w:szCs w:val="36"/>
                                  </w:rPr>
                                  <w:t xml:space="preserve">SEGUIMIENTO AL PROGRAMA DE VIVIENDA DE INTERÉS SOCIAL RURAL. </w:t>
                                </w:r>
                                <w:r w:rsidR="0017217B">
                                  <w:rPr>
                                    <w:caps/>
                                    <w:noProof/>
                                    <w:color w:val="44546A" w:themeColor="text2"/>
                                    <w:sz w:val="36"/>
                                    <w:szCs w:val="36"/>
                                  </w:rPr>
                                  <w:t>ENERO 2026</w:t>
                                </w:r>
                              </w:p>
                            </w:sdtContent>
                          </w:sdt>
                        </w:txbxContent>
                      </v:textbox>
                    </v:shape>
                    <w10:wrap anchorx="page" anchory="page"/>
                  </v:group>
                </w:pict>
              </mc:Fallback>
            </mc:AlternateContent>
          </w:r>
        </w:p>
        <w:p w14:paraId="21D5EC48" w14:textId="22FD2746" w:rsidR="0070764E" w:rsidRPr="00CB24C7" w:rsidRDefault="001F6412" w:rsidP="00CB24C7">
          <w:pPr>
            <w:rPr>
              <w:rFonts w:ascii="Arial" w:hAnsi="Arial" w:cs="Arial"/>
              <w:color w:val="FFFFFF"/>
              <w:sz w:val="18"/>
              <w:szCs w:val="18"/>
            </w:rPr>
          </w:pPr>
          <w:r w:rsidRPr="00CB24C7">
            <w:rPr>
              <w:rFonts w:ascii="Arial" w:hAnsi="Arial" w:cs="Arial"/>
              <w:sz w:val="18"/>
              <w:szCs w:val="18"/>
            </w:rPr>
            <w:br w:type="page"/>
          </w:r>
        </w:p>
      </w:sdtContent>
    </w:sdt>
    <w:p w14:paraId="269896AB" w14:textId="3550D751" w:rsidR="0070764E" w:rsidRPr="00984E2B" w:rsidRDefault="0070764E" w:rsidP="00CB24C7">
      <w:pPr>
        <w:jc w:val="center"/>
        <w:rPr>
          <w:rFonts w:ascii="Arial" w:hAnsi="Arial" w:cs="Arial"/>
          <w:color w:val="FFFFFF"/>
          <w:sz w:val="18"/>
          <w:szCs w:val="18"/>
        </w:rPr>
      </w:pPr>
    </w:p>
    <w:p w14:paraId="0778A5CE" w14:textId="37ED35C0" w:rsidR="001C710A" w:rsidRPr="00984E2B" w:rsidRDefault="001C710A" w:rsidP="00CB24C7">
      <w:pPr>
        <w:rPr>
          <w:rFonts w:ascii="Arial" w:hAnsi="Arial" w:cs="Arial"/>
          <w:noProof/>
          <w:sz w:val="18"/>
          <w:szCs w:val="18"/>
        </w:rPr>
      </w:pPr>
    </w:p>
    <w:p w14:paraId="2233C5EB" w14:textId="373C8091" w:rsidR="00B66A64" w:rsidRPr="00984E2B" w:rsidRDefault="00B66A64" w:rsidP="00CB24C7">
      <w:pPr>
        <w:rPr>
          <w:rFonts w:ascii="Arial" w:hAnsi="Arial" w:cs="Arial"/>
          <w:noProof/>
          <w:sz w:val="18"/>
          <w:szCs w:val="18"/>
        </w:rPr>
      </w:pPr>
    </w:p>
    <w:p w14:paraId="271D1D5C" w14:textId="72A737B4" w:rsidR="00B66A64" w:rsidRPr="00984E2B" w:rsidRDefault="00B66A64" w:rsidP="00CB24C7">
      <w:pPr>
        <w:rPr>
          <w:rFonts w:ascii="Arial" w:hAnsi="Arial" w:cs="Arial"/>
          <w:noProof/>
          <w:sz w:val="18"/>
          <w:szCs w:val="18"/>
        </w:rPr>
      </w:pPr>
    </w:p>
    <w:sdt>
      <w:sdtPr>
        <w:rPr>
          <w:rFonts w:ascii="Arial" w:eastAsia="Times New Roman" w:hAnsi="Arial" w:cs="Arial"/>
          <w:color w:val="auto"/>
          <w:sz w:val="24"/>
          <w:szCs w:val="24"/>
          <w:lang w:val="es-ES" w:eastAsia="es-ES_tradnl"/>
        </w:rPr>
        <w:id w:val="-666475107"/>
        <w:docPartObj>
          <w:docPartGallery w:val="Table of Contents"/>
          <w:docPartUnique/>
        </w:docPartObj>
      </w:sdtPr>
      <w:sdtContent>
        <w:p w14:paraId="0F515525" w14:textId="23760D51" w:rsidR="00DB1908" w:rsidRPr="00984E2B" w:rsidRDefault="00DB1908" w:rsidP="00CB24C7">
          <w:pPr>
            <w:pStyle w:val="TtuloTDC"/>
            <w:spacing w:before="0" w:line="240" w:lineRule="auto"/>
            <w:rPr>
              <w:rFonts w:ascii="Arial" w:hAnsi="Arial" w:cs="Arial"/>
            </w:rPr>
          </w:pPr>
          <w:r w:rsidRPr="00984E2B">
            <w:rPr>
              <w:rFonts w:ascii="Arial" w:hAnsi="Arial" w:cs="Arial"/>
              <w:lang w:val="es-ES"/>
            </w:rPr>
            <w:t>Tabla de contenido</w:t>
          </w:r>
        </w:p>
        <w:p w14:paraId="0B7692A9" w14:textId="3DB8ABA4" w:rsidR="00FC2C90" w:rsidRDefault="00DB1908">
          <w:pPr>
            <w:pStyle w:val="TDC1"/>
            <w:rPr>
              <w:rFonts w:eastAsiaTheme="minorEastAsia" w:cstheme="minorBidi"/>
              <w:b w:val="0"/>
              <w:bCs w:val="0"/>
              <w:i w:val="0"/>
              <w:iCs w:val="0"/>
              <w:noProof/>
              <w:kern w:val="2"/>
              <w:lang w:val="es-MX" w:eastAsia="es-MX"/>
              <w14:ligatures w14:val="standardContextual"/>
            </w:rPr>
          </w:pPr>
          <w:r w:rsidRPr="00984E2B">
            <w:rPr>
              <w:b w:val="0"/>
              <w:bCs w:val="0"/>
            </w:rPr>
            <w:fldChar w:fldCharType="begin"/>
          </w:r>
          <w:r w:rsidRPr="00984E2B">
            <w:rPr>
              <w:b w:val="0"/>
              <w:bCs w:val="0"/>
            </w:rPr>
            <w:instrText xml:space="preserve"> TOC \o "1-3" \h \z \u </w:instrText>
          </w:r>
          <w:r w:rsidRPr="00984E2B">
            <w:rPr>
              <w:b w:val="0"/>
              <w:bCs w:val="0"/>
            </w:rPr>
            <w:fldChar w:fldCharType="separate"/>
          </w:r>
          <w:hyperlink w:anchor="_Toc225874776" w:history="1">
            <w:r w:rsidR="00FC2C90" w:rsidRPr="00DC5518">
              <w:rPr>
                <w:rStyle w:val="Hipervnculo"/>
                <w:rFonts w:ascii="Arial" w:hAnsi="Arial" w:cs="Arial"/>
                <w:noProof/>
                <w:color w:val="023160" w:themeColor="hyperlink" w:themeShade="80"/>
                <w:lang w:val="es-ES_tradnl"/>
              </w:rPr>
              <w:t>1.</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INTRODUCCIÓN</w:t>
            </w:r>
            <w:r w:rsidR="00FC2C90">
              <w:rPr>
                <w:noProof/>
                <w:webHidden/>
              </w:rPr>
              <w:tab/>
            </w:r>
            <w:r w:rsidR="00FC2C90">
              <w:rPr>
                <w:noProof/>
                <w:webHidden/>
              </w:rPr>
              <w:fldChar w:fldCharType="begin"/>
            </w:r>
            <w:r w:rsidR="00FC2C90">
              <w:rPr>
                <w:noProof/>
                <w:webHidden/>
              </w:rPr>
              <w:instrText xml:space="preserve"> PAGEREF _Toc225874776 \h </w:instrText>
            </w:r>
            <w:r w:rsidR="00FC2C90">
              <w:rPr>
                <w:noProof/>
                <w:webHidden/>
              </w:rPr>
            </w:r>
            <w:r w:rsidR="00FC2C90">
              <w:rPr>
                <w:noProof/>
                <w:webHidden/>
              </w:rPr>
              <w:fldChar w:fldCharType="separate"/>
            </w:r>
            <w:r w:rsidR="00FC2C90">
              <w:rPr>
                <w:noProof/>
                <w:webHidden/>
              </w:rPr>
              <w:t>2</w:t>
            </w:r>
            <w:r w:rsidR="00FC2C90">
              <w:rPr>
                <w:noProof/>
                <w:webHidden/>
              </w:rPr>
              <w:fldChar w:fldCharType="end"/>
            </w:r>
          </w:hyperlink>
        </w:p>
        <w:p w14:paraId="5EE5015C" w14:textId="688DC61E"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77" w:history="1">
            <w:r w:rsidR="00FC2C90" w:rsidRPr="00DC5518">
              <w:rPr>
                <w:rStyle w:val="Hipervnculo"/>
                <w:rFonts w:ascii="Arial" w:hAnsi="Arial" w:cs="Arial"/>
                <w:noProof/>
                <w:color w:val="023160" w:themeColor="hyperlink" w:themeShade="80"/>
                <w:lang w:val="es-ES_tradnl"/>
              </w:rPr>
              <w:t>2.</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METAS GENERALES DEL PROGRAMA</w:t>
            </w:r>
            <w:r w:rsidR="00FC2C90">
              <w:rPr>
                <w:noProof/>
                <w:webHidden/>
              </w:rPr>
              <w:tab/>
            </w:r>
            <w:r w:rsidR="00FC2C90">
              <w:rPr>
                <w:noProof/>
                <w:webHidden/>
              </w:rPr>
              <w:fldChar w:fldCharType="begin"/>
            </w:r>
            <w:r w:rsidR="00FC2C90">
              <w:rPr>
                <w:noProof/>
                <w:webHidden/>
              </w:rPr>
              <w:instrText xml:space="preserve"> PAGEREF _Toc225874777 \h </w:instrText>
            </w:r>
            <w:r w:rsidR="00FC2C90">
              <w:rPr>
                <w:noProof/>
                <w:webHidden/>
              </w:rPr>
            </w:r>
            <w:r w:rsidR="00FC2C90">
              <w:rPr>
                <w:noProof/>
                <w:webHidden/>
              </w:rPr>
              <w:fldChar w:fldCharType="separate"/>
            </w:r>
            <w:r w:rsidR="00FC2C90">
              <w:rPr>
                <w:noProof/>
                <w:webHidden/>
              </w:rPr>
              <w:t>4</w:t>
            </w:r>
            <w:r w:rsidR="00FC2C90">
              <w:rPr>
                <w:noProof/>
                <w:webHidden/>
              </w:rPr>
              <w:fldChar w:fldCharType="end"/>
            </w:r>
          </w:hyperlink>
        </w:p>
        <w:p w14:paraId="12720775" w14:textId="02043B51"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78" w:history="1">
            <w:r w:rsidR="00FC2C90" w:rsidRPr="00DC5518">
              <w:rPr>
                <w:rStyle w:val="Hipervnculo"/>
                <w:rFonts w:cstheme="minorHAnsi"/>
                <w:noProof/>
                <w:color w:val="023160" w:themeColor="hyperlink" w:themeShade="80"/>
                <w:lang w:val="es-ES_tradnl"/>
              </w:rPr>
              <w:t>2.1.</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Metas Plan Nacional de Desarrollo</w:t>
            </w:r>
            <w:r w:rsidR="00FC2C90">
              <w:rPr>
                <w:noProof/>
                <w:webHidden/>
              </w:rPr>
              <w:tab/>
            </w:r>
            <w:r w:rsidR="00FC2C90">
              <w:rPr>
                <w:noProof/>
                <w:webHidden/>
              </w:rPr>
              <w:fldChar w:fldCharType="begin"/>
            </w:r>
            <w:r w:rsidR="00FC2C90">
              <w:rPr>
                <w:noProof/>
                <w:webHidden/>
              </w:rPr>
              <w:instrText xml:space="preserve"> PAGEREF _Toc225874778 \h </w:instrText>
            </w:r>
            <w:r w:rsidR="00FC2C90">
              <w:rPr>
                <w:noProof/>
                <w:webHidden/>
              </w:rPr>
            </w:r>
            <w:r w:rsidR="00FC2C90">
              <w:rPr>
                <w:noProof/>
                <w:webHidden/>
              </w:rPr>
              <w:fldChar w:fldCharType="separate"/>
            </w:r>
            <w:r w:rsidR="00FC2C90">
              <w:rPr>
                <w:noProof/>
                <w:webHidden/>
              </w:rPr>
              <w:t>4</w:t>
            </w:r>
            <w:r w:rsidR="00FC2C90">
              <w:rPr>
                <w:noProof/>
                <w:webHidden/>
              </w:rPr>
              <w:fldChar w:fldCharType="end"/>
            </w:r>
          </w:hyperlink>
        </w:p>
        <w:p w14:paraId="3B94CF99" w14:textId="5C170963"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79" w:history="1">
            <w:r w:rsidR="00FC2C90" w:rsidRPr="00DC5518">
              <w:rPr>
                <w:rStyle w:val="Hipervnculo"/>
                <w:rFonts w:ascii="Arial" w:hAnsi="Arial" w:cs="Arial"/>
                <w:noProof/>
                <w:color w:val="023160" w:themeColor="hyperlink" w:themeShade="80"/>
                <w:lang w:val="es-ES_tradnl"/>
              </w:rPr>
              <w:t>3.</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PRESUPUESTO DE EJECUCIÓN DEL PROGRAMA</w:t>
            </w:r>
            <w:r w:rsidR="00FC2C90">
              <w:rPr>
                <w:noProof/>
                <w:webHidden/>
              </w:rPr>
              <w:tab/>
            </w:r>
            <w:r w:rsidR="00FC2C90">
              <w:rPr>
                <w:noProof/>
                <w:webHidden/>
              </w:rPr>
              <w:fldChar w:fldCharType="begin"/>
            </w:r>
            <w:r w:rsidR="00FC2C90">
              <w:rPr>
                <w:noProof/>
                <w:webHidden/>
              </w:rPr>
              <w:instrText xml:space="preserve"> PAGEREF _Toc225874779 \h </w:instrText>
            </w:r>
            <w:r w:rsidR="00FC2C90">
              <w:rPr>
                <w:noProof/>
                <w:webHidden/>
              </w:rPr>
            </w:r>
            <w:r w:rsidR="00FC2C90">
              <w:rPr>
                <w:noProof/>
                <w:webHidden/>
              </w:rPr>
              <w:fldChar w:fldCharType="separate"/>
            </w:r>
            <w:r w:rsidR="00FC2C90">
              <w:rPr>
                <w:noProof/>
                <w:webHidden/>
              </w:rPr>
              <w:t>6</w:t>
            </w:r>
            <w:r w:rsidR="00FC2C90">
              <w:rPr>
                <w:noProof/>
                <w:webHidden/>
              </w:rPr>
              <w:fldChar w:fldCharType="end"/>
            </w:r>
          </w:hyperlink>
        </w:p>
        <w:p w14:paraId="56ECEDFB" w14:textId="16541B7F"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80" w:history="1">
            <w:r w:rsidR="00FC2C90" w:rsidRPr="00DC5518">
              <w:rPr>
                <w:rStyle w:val="Hipervnculo"/>
                <w:rFonts w:ascii="Arial" w:hAnsi="Arial" w:cs="Arial"/>
                <w:noProof/>
                <w:color w:val="023160" w:themeColor="hyperlink" w:themeShade="80"/>
                <w:lang w:val="es-ES_tradnl"/>
              </w:rPr>
              <w:t>4.</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SEGUIMIENTO A VIGENCIA 2000 – 2017 (Periodo de otorgamiento Banco Agrario de Colombia – BAC)</w:t>
            </w:r>
            <w:r w:rsidR="00FC2C90">
              <w:rPr>
                <w:noProof/>
                <w:webHidden/>
              </w:rPr>
              <w:tab/>
            </w:r>
            <w:r w:rsidR="00FC2C90">
              <w:rPr>
                <w:noProof/>
                <w:webHidden/>
              </w:rPr>
              <w:fldChar w:fldCharType="begin"/>
            </w:r>
            <w:r w:rsidR="00FC2C90">
              <w:rPr>
                <w:noProof/>
                <w:webHidden/>
              </w:rPr>
              <w:instrText xml:space="preserve"> PAGEREF _Toc225874780 \h </w:instrText>
            </w:r>
            <w:r w:rsidR="00FC2C90">
              <w:rPr>
                <w:noProof/>
                <w:webHidden/>
              </w:rPr>
            </w:r>
            <w:r w:rsidR="00FC2C90">
              <w:rPr>
                <w:noProof/>
                <w:webHidden/>
              </w:rPr>
              <w:fldChar w:fldCharType="separate"/>
            </w:r>
            <w:r w:rsidR="00FC2C90">
              <w:rPr>
                <w:noProof/>
                <w:webHidden/>
              </w:rPr>
              <w:t>11</w:t>
            </w:r>
            <w:r w:rsidR="00FC2C90">
              <w:rPr>
                <w:noProof/>
                <w:webHidden/>
              </w:rPr>
              <w:fldChar w:fldCharType="end"/>
            </w:r>
          </w:hyperlink>
        </w:p>
        <w:p w14:paraId="5A72A85F" w14:textId="6F2F08AC"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81" w:history="1">
            <w:r w:rsidR="00FC2C90" w:rsidRPr="00DC5518">
              <w:rPr>
                <w:rStyle w:val="Hipervnculo"/>
                <w:rFonts w:cstheme="minorHAnsi"/>
                <w:noProof/>
                <w:color w:val="023160" w:themeColor="hyperlink" w:themeShade="80"/>
                <w:lang w:val="es-ES_tradnl"/>
              </w:rPr>
              <w:t>4.1.</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Gestión Presupuestal Vigencias 2000-2017</w:t>
            </w:r>
            <w:r w:rsidR="00FC2C90">
              <w:rPr>
                <w:noProof/>
                <w:webHidden/>
              </w:rPr>
              <w:tab/>
            </w:r>
            <w:r w:rsidR="00FC2C90">
              <w:rPr>
                <w:noProof/>
                <w:webHidden/>
              </w:rPr>
              <w:fldChar w:fldCharType="begin"/>
            </w:r>
            <w:r w:rsidR="00FC2C90">
              <w:rPr>
                <w:noProof/>
                <w:webHidden/>
              </w:rPr>
              <w:instrText xml:space="preserve"> PAGEREF _Toc225874781 \h </w:instrText>
            </w:r>
            <w:r w:rsidR="00FC2C90">
              <w:rPr>
                <w:noProof/>
                <w:webHidden/>
              </w:rPr>
            </w:r>
            <w:r w:rsidR="00FC2C90">
              <w:rPr>
                <w:noProof/>
                <w:webHidden/>
              </w:rPr>
              <w:fldChar w:fldCharType="separate"/>
            </w:r>
            <w:r w:rsidR="00FC2C90">
              <w:rPr>
                <w:noProof/>
                <w:webHidden/>
              </w:rPr>
              <w:t>11</w:t>
            </w:r>
            <w:r w:rsidR="00FC2C90">
              <w:rPr>
                <w:noProof/>
                <w:webHidden/>
              </w:rPr>
              <w:fldChar w:fldCharType="end"/>
            </w:r>
          </w:hyperlink>
        </w:p>
        <w:p w14:paraId="7BB23DD1" w14:textId="341AC2D8"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82" w:history="1">
            <w:r w:rsidR="00FC2C90" w:rsidRPr="00DC5518">
              <w:rPr>
                <w:rStyle w:val="Hipervnculo"/>
                <w:rFonts w:cstheme="minorHAnsi"/>
                <w:noProof/>
                <w:color w:val="023160" w:themeColor="hyperlink" w:themeShade="80"/>
                <w:lang w:val="es-ES_tradnl"/>
              </w:rPr>
              <w:t>4.2.</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Subsidios de Vivienda Rural Otorgados del 2000 al 2017</w:t>
            </w:r>
            <w:r w:rsidR="00FC2C90">
              <w:rPr>
                <w:noProof/>
                <w:webHidden/>
              </w:rPr>
              <w:tab/>
            </w:r>
            <w:r w:rsidR="00FC2C90">
              <w:rPr>
                <w:noProof/>
                <w:webHidden/>
              </w:rPr>
              <w:fldChar w:fldCharType="begin"/>
            </w:r>
            <w:r w:rsidR="00FC2C90">
              <w:rPr>
                <w:noProof/>
                <w:webHidden/>
              </w:rPr>
              <w:instrText xml:space="preserve"> PAGEREF _Toc225874782 \h </w:instrText>
            </w:r>
            <w:r w:rsidR="00FC2C90">
              <w:rPr>
                <w:noProof/>
                <w:webHidden/>
              </w:rPr>
            </w:r>
            <w:r w:rsidR="00FC2C90">
              <w:rPr>
                <w:noProof/>
                <w:webHidden/>
              </w:rPr>
              <w:fldChar w:fldCharType="separate"/>
            </w:r>
            <w:r w:rsidR="00FC2C90">
              <w:rPr>
                <w:noProof/>
                <w:webHidden/>
              </w:rPr>
              <w:t>12</w:t>
            </w:r>
            <w:r w:rsidR="00FC2C90">
              <w:rPr>
                <w:noProof/>
                <w:webHidden/>
              </w:rPr>
              <w:fldChar w:fldCharType="end"/>
            </w:r>
          </w:hyperlink>
        </w:p>
        <w:p w14:paraId="7FFA7E0C" w14:textId="1785A439"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83" w:history="1">
            <w:r w:rsidR="00FC2C90" w:rsidRPr="00DC5518">
              <w:rPr>
                <w:rStyle w:val="Hipervnculo"/>
                <w:rFonts w:cstheme="minorHAnsi"/>
                <w:noProof/>
                <w:color w:val="023160" w:themeColor="hyperlink" w:themeShade="80"/>
                <w:lang w:val="es-ES_tradnl"/>
              </w:rPr>
              <w:t>4.3.</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Regionalización de Beneficiarios Otorgados y Avance de Entregas</w:t>
            </w:r>
            <w:r w:rsidR="00FC2C90">
              <w:rPr>
                <w:noProof/>
                <w:webHidden/>
              </w:rPr>
              <w:tab/>
            </w:r>
            <w:r w:rsidR="00FC2C90">
              <w:rPr>
                <w:noProof/>
                <w:webHidden/>
              </w:rPr>
              <w:fldChar w:fldCharType="begin"/>
            </w:r>
            <w:r w:rsidR="00FC2C90">
              <w:rPr>
                <w:noProof/>
                <w:webHidden/>
              </w:rPr>
              <w:instrText xml:space="preserve"> PAGEREF _Toc225874783 \h </w:instrText>
            </w:r>
            <w:r w:rsidR="00FC2C90">
              <w:rPr>
                <w:noProof/>
                <w:webHidden/>
              </w:rPr>
            </w:r>
            <w:r w:rsidR="00FC2C90">
              <w:rPr>
                <w:noProof/>
                <w:webHidden/>
              </w:rPr>
              <w:fldChar w:fldCharType="separate"/>
            </w:r>
            <w:r w:rsidR="00FC2C90">
              <w:rPr>
                <w:noProof/>
                <w:webHidden/>
              </w:rPr>
              <w:t>14</w:t>
            </w:r>
            <w:r w:rsidR="00FC2C90">
              <w:rPr>
                <w:noProof/>
                <w:webHidden/>
              </w:rPr>
              <w:fldChar w:fldCharType="end"/>
            </w:r>
          </w:hyperlink>
        </w:p>
        <w:p w14:paraId="47C28DC4" w14:textId="15ED4A2B"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84" w:history="1">
            <w:r w:rsidR="00FC2C90" w:rsidRPr="00DC5518">
              <w:rPr>
                <w:rStyle w:val="Hipervnculo"/>
                <w:rFonts w:cstheme="minorHAnsi"/>
                <w:noProof/>
                <w:color w:val="023160" w:themeColor="hyperlink" w:themeShade="80"/>
                <w:lang w:val="es-ES_tradnl"/>
              </w:rPr>
              <w:t>4.4.</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Indexaciones 2000 – 2017 Banco Agrario de Colombia – BAC</w:t>
            </w:r>
            <w:r w:rsidR="00FC2C90">
              <w:rPr>
                <w:noProof/>
                <w:webHidden/>
              </w:rPr>
              <w:tab/>
            </w:r>
            <w:r w:rsidR="00FC2C90">
              <w:rPr>
                <w:noProof/>
                <w:webHidden/>
              </w:rPr>
              <w:fldChar w:fldCharType="begin"/>
            </w:r>
            <w:r w:rsidR="00FC2C90">
              <w:rPr>
                <w:noProof/>
                <w:webHidden/>
              </w:rPr>
              <w:instrText xml:space="preserve"> PAGEREF _Toc225874784 \h </w:instrText>
            </w:r>
            <w:r w:rsidR="00FC2C90">
              <w:rPr>
                <w:noProof/>
                <w:webHidden/>
              </w:rPr>
            </w:r>
            <w:r w:rsidR="00FC2C90">
              <w:rPr>
                <w:noProof/>
                <w:webHidden/>
              </w:rPr>
              <w:fldChar w:fldCharType="separate"/>
            </w:r>
            <w:r w:rsidR="00FC2C90">
              <w:rPr>
                <w:noProof/>
                <w:webHidden/>
              </w:rPr>
              <w:t>14</w:t>
            </w:r>
            <w:r w:rsidR="00FC2C90">
              <w:rPr>
                <w:noProof/>
                <w:webHidden/>
              </w:rPr>
              <w:fldChar w:fldCharType="end"/>
            </w:r>
          </w:hyperlink>
        </w:p>
        <w:p w14:paraId="0DC57857" w14:textId="65D5D75B"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85" w:history="1">
            <w:r w:rsidR="00FC2C90" w:rsidRPr="00DC5518">
              <w:rPr>
                <w:rStyle w:val="Hipervnculo"/>
                <w:rFonts w:cstheme="minorHAnsi"/>
                <w:noProof/>
                <w:color w:val="023160" w:themeColor="hyperlink" w:themeShade="80"/>
                <w:lang w:val="es-ES_tradnl"/>
              </w:rPr>
              <w:t>4.5.</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Auditoría realizada al programa de vivienda de interés social rural</w:t>
            </w:r>
            <w:r w:rsidR="00FC2C90">
              <w:rPr>
                <w:noProof/>
                <w:webHidden/>
              </w:rPr>
              <w:tab/>
            </w:r>
            <w:r w:rsidR="00FC2C90">
              <w:rPr>
                <w:noProof/>
                <w:webHidden/>
              </w:rPr>
              <w:fldChar w:fldCharType="begin"/>
            </w:r>
            <w:r w:rsidR="00FC2C90">
              <w:rPr>
                <w:noProof/>
                <w:webHidden/>
              </w:rPr>
              <w:instrText xml:space="preserve"> PAGEREF _Toc225874785 \h </w:instrText>
            </w:r>
            <w:r w:rsidR="00FC2C90">
              <w:rPr>
                <w:noProof/>
                <w:webHidden/>
              </w:rPr>
            </w:r>
            <w:r w:rsidR="00FC2C90">
              <w:rPr>
                <w:noProof/>
                <w:webHidden/>
              </w:rPr>
              <w:fldChar w:fldCharType="separate"/>
            </w:r>
            <w:r w:rsidR="00FC2C90">
              <w:rPr>
                <w:noProof/>
                <w:webHidden/>
              </w:rPr>
              <w:t>16</w:t>
            </w:r>
            <w:r w:rsidR="00FC2C90">
              <w:rPr>
                <w:noProof/>
                <w:webHidden/>
              </w:rPr>
              <w:fldChar w:fldCharType="end"/>
            </w:r>
          </w:hyperlink>
        </w:p>
        <w:p w14:paraId="6BA656CD" w14:textId="21C58DFC"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86" w:history="1">
            <w:r w:rsidR="00FC2C90" w:rsidRPr="00DC5518">
              <w:rPr>
                <w:rStyle w:val="Hipervnculo"/>
                <w:rFonts w:ascii="Arial" w:hAnsi="Arial" w:cs="Arial"/>
                <w:noProof/>
                <w:color w:val="023160" w:themeColor="hyperlink" w:themeShade="80"/>
                <w:lang w:val="es-ES_tradnl"/>
              </w:rPr>
              <w:t>5.</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SEGUIMIENTO A VIGENCIA 2018 – 2019 (FIDUAGRARIA)</w:t>
            </w:r>
            <w:r w:rsidR="00FC2C90">
              <w:rPr>
                <w:noProof/>
                <w:webHidden/>
              </w:rPr>
              <w:tab/>
            </w:r>
            <w:r w:rsidR="00FC2C90">
              <w:rPr>
                <w:noProof/>
                <w:webHidden/>
              </w:rPr>
              <w:fldChar w:fldCharType="begin"/>
            </w:r>
            <w:r w:rsidR="00FC2C90">
              <w:rPr>
                <w:noProof/>
                <w:webHidden/>
              </w:rPr>
              <w:instrText xml:space="preserve"> PAGEREF _Toc225874786 \h </w:instrText>
            </w:r>
            <w:r w:rsidR="00FC2C90">
              <w:rPr>
                <w:noProof/>
                <w:webHidden/>
              </w:rPr>
            </w:r>
            <w:r w:rsidR="00FC2C90">
              <w:rPr>
                <w:noProof/>
                <w:webHidden/>
              </w:rPr>
              <w:fldChar w:fldCharType="separate"/>
            </w:r>
            <w:r w:rsidR="00FC2C90">
              <w:rPr>
                <w:noProof/>
                <w:webHidden/>
              </w:rPr>
              <w:t>19</w:t>
            </w:r>
            <w:r w:rsidR="00FC2C90">
              <w:rPr>
                <w:noProof/>
                <w:webHidden/>
              </w:rPr>
              <w:fldChar w:fldCharType="end"/>
            </w:r>
          </w:hyperlink>
        </w:p>
        <w:p w14:paraId="675CF553" w14:textId="0D32C5F9"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87" w:history="1">
            <w:r w:rsidR="00FC2C90" w:rsidRPr="00DC5518">
              <w:rPr>
                <w:rStyle w:val="Hipervnculo"/>
                <w:rFonts w:ascii="Arial" w:hAnsi="Arial" w:cs="Arial"/>
                <w:noProof/>
                <w:color w:val="023160" w:themeColor="hyperlink" w:themeShade="80"/>
              </w:rPr>
              <w:t>6.</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rPr>
              <w:t>AUTOGESTIÓN</w:t>
            </w:r>
            <w:r w:rsidR="00FC2C90">
              <w:rPr>
                <w:noProof/>
                <w:webHidden/>
              </w:rPr>
              <w:tab/>
            </w:r>
            <w:r w:rsidR="00FC2C90">
              <w:rPr>
                <w:noProof/>
                <w:webHidden/>
              </w:rPr>
              <w:fldChar w:fldCharType="begin"/>
            </w:r>
            <w:r w:rsidR="00FC2C90">
              <w:rPr>
                <w:noProof/>
                <w:webHidden/>
              </w:rPr>
              <w:instrText xml:space="preserve"> PAGEREF _Toc225874787 \h </w:instrText>
            </w:r>
            <w:r w:rsidR="00FC2C90">
              <w:rPr>
                <w:noProof/>
                <w:webHidden/>
              </w:rPr>
            </w:r>
            <w:r w:rsidR="00FC2C90">
              <w:rPr>
                <w:noProof/>
                <w:webHidden/>
              </w:rPr>
              <w:fldChar w:fldCharType="separate"/>
            </w:r>
            <w:r w:rsidR="00FC2C90">
              <w:rPr>
                <w:noProof/>
                <w:webHidden/>
              </w:rPr>
              <w:t>26</w:t>
            </w:r>
            <w:r w:rsidR="00FC2C90">
              <w:rPr>
                <w:noProof/>
                <w:webHidden/>
              </w:rPr>
              <w:fldChar w:fldCharType="end"/>
            </w:r>
          </w:hyperlink>
        </w:p>
        <w:p w14:paraId="743C5EEB" w14:textId="3B3570D8"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88" w:history="1">
            <w:r w:rsidR="00FC2C90" w:rsidRPr="00DC5518">
              <w:rPr>
                <w:rStyle w:val="Hipervnculo"/>
                <w:rFonts w:ascii="Arial" w:hAnsi="Arial" w:cs="Arial"/>
                <w:noProof/>
                <w:color w:val="023160" w:themeColor="hyperlink" w:themeShade="80"/>
              </w:rPr>
              <w:t>7.</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rPr>
              <w:t>SUSTITUCIÓN DE BENEFICIARIOS</w:t>
            </w:r>
            <w:r w:rsidR="00FC2C90">
              <w:rPr>
                <w:noProof/>
                <w:webHidden/>
              </w:rPr>
              <w:tab/>
            </w:r>
            <w:r w:rsidR="00FC2C90">
              <w:rPr>
                <w:noProof/>
                <w:webHidden/>
              </w:rPr>
              <w:fldChar w:fldCharType="begin"/>
            </w:r>
            <w:r w:rsidR="00FC2C90">
              <w:rPr>
                <w:noProof/>
                <w:webHidden/>
              </w:rPr>
              <w:instrText xml:space="preserve"> PAGEREF _Toc225874788 \h </w:instrText>
            </w:r>
            <w:r w:rsidR="00FC2C90">
              <w:rPr>
                <w:noProof/>
                <w:webHidden/>
              </w:rPr>
            </w:r>
            <w:r w:rsidR="00FC2C90">
              <w:rPr>
                <w:noProof/>
                <w:webHidden/>
              </w:rPr>
              <w:fldChar w:fldCharType="separate"/>
            </w:r>
            <w:r w:rsidR="00FC2C90">
              <w:rPr>
                <w:noProof/>
                <w:webHidden/>
              </w:rPr>
              <w:t>30</w:t>
            </w:r>
            <w:r w:rsidR="00FC2C90">
              <w:rPr>
                <w:noProof/>
                <w:webHidden/>
              </w:rPr>
              <w:fldChar w:fldCharType="end"/>
            </w:r>
          </w:hyperlink>
        </w:p>
        <w:p w14:paraId="4B12618B" w14:textId="2F198BCA"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89" w:history="1">
            <w:r w:rsidR="00FC2C90" w:rsidRPr="00DC5518">
              <w:rPr>
                <w:rStyle w:val="Hipervnculo"/>
                <w:rFonts w:cstheme="minorHAnsi"/>
                <w:noProof/>
                <w:color w:val="023160" w:themeColor="hyperlink" w:themeShade="80"/>
                <w:lang w:val="es-ES_tradnl"/>
              </w:rPr>
              <w:t>7.1.</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Resumen General de las Sustituciones</w:t>
            </w:r>
            <w:r w:rsidR="00FC2C90">
              <w:rPr>
                <w:noProof/>
                <w:webHidden/>
              </w:rPr>
              <w:tab/>
            </w:r>
            <w:r w:rsidR="00FC2C90">
              <w:rPr>
                <w:noProof/>
                <w:webHidden/>
              </w:rPr>
              <w:fldChar w:fldCharType="begin"/>
            </w:r>
            <w:r w:rsidR="00FC2C90">
              <w:rPr>
                <w:noProof/>
                <w:webHidden/>
              </w:rPr>
              <w:instrText xml:space="preserve"> PAGEREF _Toc225874789 \h </w:instrText>
            </w:r>
            <w:r w:rsidR="00FC2C90">
              <w:rPr>
                <w:noProof/>
                <w:webHidden/>
              </w:rPr>
            </w:r>
            <w:r w:rsidR="00FC2C90">
              <w:rPr>
                <w:noProof/>
                <w:webHidden/>
              </w:rPr>
              <w:fldChar w:fldCharType="separate"/>
            </w:r>
            <w:r w:rsidR="00FC2C90">
              <w:rPr>
                <w:noProof/>
                <w:webHidden/>
              </w:rPr>
              <w:t>30</w:t>
            </w:r>
            <w:r w:rsidR="00FC2C90">
              <w:rPr>
                <w:noProof/>
                <w:webHidden/>
              </w:rPr>
              <w:fldChar w:fldCharType="end"/>
            </w:r>
          </w:hyperlink>
        </w:p>
        <w:p w14:paraId="1B34FB39" w14:textId="6AA81228"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90" w:history="1">
            <w:r w:rsidR="00FC2C90" w:rsidRPr="00DC5518">
              <w:rPr>
                <w:rStyle w:val="Hipervnculo"/>
                <w:rFonts w:cstheme="minorHAnsi"/>
                <w:noProof/>
                <w:color w:val="023160" w:themeColor="hyperlink" w:themeShade="80"/>
                <w:lang w:val="es-ES_tradnl"/>
              </w:rPr>
              <w:t>7.1.1.</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Antecedentes</w:t>
            </w:r>
            <w:r w:rsidR="00FC2C90">
              <w:rPr>
                <w:noProof/>
                <w:webHidden/>
              </w:rPr>
              <w:tab/>
            </w:r>
            <w:r w:rsidR="00FC2C90">
              <w:rPr>
                <w:noProof/>
                <w:webHidden/>
              </w:rPr>
              <w:fldChar w:fldCharType="begin"/>
            </w:r>
            <w:r w:rsidR="00FC2C90">
              <w:rPr>
                <w:noProof/>
                <w:webHidden/>
              </w:rPr>
              <w:instrText xml:space="preserve"> PAGEREF _Toc225874790 \h </w:instrText>
            </w:r>
            <w:r w:rsidR="00FC2C90">
              <w:rPr>
                <w:noProof/>
                <w:webHidden/>
              </w:rPr>
            </w:r>
            <w:r w:rsidR="00FC2C90">
              <w:rPr>
                <w:noProof/>
                <w:webHidden/>
              </w:rPr>
              <w:fldChar w:fldCharType="separate"/>
            </w:r>
            <w:r w:rsidR="00FC2C90">
              <w:rPr>
                <w:noProof/>
                <w:webHidden/>
              </w:rPr>
              <w:t>30</w:t>
            </w:r>
            <w:r w:rsidR="00FC2C90">
              <w:rPr>
                <w:noProof/>
                <w:webHidden/>
              </w:rPr>
              <w:fldChar w:fldCharType="end"/>
            </w:r>
          </w:hyperlink>
        </w:p>
        <w:p w14:paraId="5A96787F" w14:textId="7ECDB8FA"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91" w:history="1">
            <w:r w:rsidR="00FC2C90" w:rsidRPr="00DC5518">
              <w:rPr>
                <w:rStyle w:val="Hipervnculo"/>
                <w:rFonts w:cstheme="minorHAnsi"/>
                <w:noProof/>
                <w:color w:val="023160" w:themeColor="hyperlink" w:themeShade="80"/>
                <w:lang w:val="es-ES_tradnl"/>
              </w:rPr>
              <w:t>7.1.2.</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lang w:val="es-ES_tradnl"/>
              </w:rPr>
              <w:t>Cifras Generales</w:t>
            </w:r>
            <w:r w:rsidR="00FC2C90">
              <w:rPr>
                <w:noProof/>
                <w:webHidden/>
              </w:rPr>
              <w:tab/>
            </w:r>
            <w:r w:rsidR="00FC2C90">
              <w:rPr>
                <w:noProof/>
                <w:webHidden/>
              </w:rPr>
              <w:fldChar w:fldCharType="begin"/>
            </w:r>
            <w:r w:rsidR="00FC2C90">
              <w:rPr>
                <w:noProof/>
                <w:webHidden/>
              </w:rPr>
              <w:instrText xml:space="preserve"> PAGEREF _Toc225874791 \h </w:instrText>
            </w:r>
            <w:r w:rsidR="00FC2C90">
              <w:rPr>
                <w:noProof/>
                <w:webHidden/>
              </w:rPr>
            </w:r>
            <w:r w:rsidR="00FC2C90">
              <w:rPr>
                <w:noProof/>
                <w:webHidden/>
              </w:rPr>
              <w:fldChar w:fldCharType="separate"/>
            </w:r>
            <w:r w:rsidR="00FC2C90">
              <w:rPr>
                <w:noProof/>
                <w:webHidden/>
              </w:rPr>
              <w:t>31</w:t>
            </w:r>
            <w:r w:rsidR="00FC2C90">
              <w:rPr>
                <w:noProof/>
                <w:webHidden/>
              </w:rPr>
              <w:fldChar w:fldCharType="end"/>
            </w:r>
          </w:hyperlink>
        </w:p>
        <w:p w14:paraId="59998237" w14:textId="301765A0"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92" w:history="1">
            <w:r w:rsidR="00FC2C90" w:rsidRPr="00DC5518">
              <w:rPr>
                <w:rStyle w:val="Hipervnculo"/>
                <w:rFonts w:ascii="Arial" w:hAnsi="Arial" w:cs="Arial"/>
                <w:noProof/>
                <w:color w:val="023160" w:themeColor="hyperlink" w:themeShade="80"/>
              </w:rPr>
              <w:t>8.</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rPr>
              <w:t>GESTIÓN DE TRÁMITES JUDICIALES</w:t>
            </w:r>
            <w:r w:rsidR="00FC2C90">
              <w:rPr>
                <w:noProof/>
                <w:webHidden/>
              </w:rPr>
              <w:tab/>
            </w:r>
            <w:r w:rsidR="00FC2C90">
              <w:rPr>
                <w:noProof/>
                <w:webHidden/>
              </w:rPr>
              <w:fldChar w:fldCharType="begin"/>
            </w:r>
            <w:r w:rsidR="00FC2C90">
              <w:rPr>
                <w:noProof/>
                <w:webHidden/>
              </w:rPr>
              <w:instrText xml:space="preserve"> PAGEREF _Toc225874792 \h </w:instrText>
            </w:r>
            <w:r w:rsidR="00FC2C90">
              <w:rPr>
                <w:noProof/>
                <w:webHidden/>
              </w:rPr>
            </w:r>
            <w:r w:rsidR="00FC2C90">
              <w:rPr>
                <w:noProof/>
                <w:webHidden/>
              </w:rPr>
              <w:fldChar w:fldCharType="separate"/>
            </w:r>
            <w:r w:rsidR="00FC2C90">
              <w:rPr>
                <w:noProof/>
                <w:webHidden/>
              </w:rPr>
              <w:t>32</w:t>
            </w:r>
            <w:r w:rsidR="00FC2C90">
              <w:rPr>
                <w:noProof/>
                <w:webHidden/>
              </w:rPr>
              <w:fldChar w:fldCharType="end"/>
            </w:r>
          </w:hyperlink>
        </w:p>
        <w:p w14:paraId="71256F43" w14:textId="4D5E9CBF"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93" w:history="1">
            <w:r w:rsidR="00FC2C90" w:rsidRPr="00DC5518">
              <w:rPr>
                <w:rStyle w:val="Hipervnculo"/>
                <w:rFonts w:ascii="Arial" w:hAnsi="Arial" w:cs="Arial"/>
                <w:noProof/>
                <w:color w:val="023160" w:themeColor="hyperlink" w:themeShade="80"/>
              </w:rPr>
              <w:t>9.</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rPr>
              <w:t>COMISION INTERSECTORIAL DE VIVIENDA DE INTERÉS SOCIAL RURAL</w:t>
            </w:r>
            <w:r w:rsidR="00FC2C90">
              <w:rPr>
                <w:noProof/>
                <w:webHidden/>
              </w:rPr>
              <w:tab/>
            </w:r>
            <w:r w:rsidR="00FC2C90">
              <w:rPr>
                <w:noProof/>
                <w:webHidden/>
              </w:rPr>
              <w:fldChar w:fldCharType="begin"/>
            </w:r>
            <w:r w:rsidR="00FC2C90">
              <w:rPr>
                <w:noProof/>
                <w:webHidden/>
              </w:rPr>
              <w:instrText xml:space="preserve"> PAGEREF _Toc225874793 \h </w:instrText>
            </w:r>
            <w:r w:rsidR="00FC2C90">
              <w:rPr>
                <w:noProof/>
                <w:webHidden/>
              </w:rPr>
            </w:r>
            <w:r w:rsidR="00FC2C90">
              <w:rPr>
                <w:noProof/>
                <w:webHidden/>
              </w:rPr>
              <w:fldChar w:fldCharType="separate"/>
            </w:r>
            <w:r w:rsidR="00FC2C90">
              <w:rPr>
                <w:noProof/>
                <w:webHidden/>
              </w:rPr>
              <w:t>33</w:t>
            </w:r>
            <w:r w:rsidR="00FC2C90">
              <w:rPr>
                <w:noProof/>
                <w:webHidden/>
              </w:rPr>
              <w:fldChar w:fldCharType="end"/>
            </w:r>
          </w:hyperlink>
        </w:p>
        <w:p w14:paraId="442A6423" w14:textId="1B776BEE"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94" w:history="1">
            <w:r w:rsidR="00FC2C90" w:rsidRPr="00DC5518">
              <w:rPr>
                <w:rStyle w:val="Hipervnculo"/>
                <w:rFonts w:ascii="Arial" w:hAnsi="Arial" w:cs="Arial"/>
                <w:noProof/>
                <w:color w:val="023160" w:themeColor="hyperlink" w:themeShade="80"/>
              </w:rPr>
              <w:t>10.</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rPr>
              <w:t>DIALOGO SOCIAL</w:t>
            </w:r>
            <w:r w:rsidR="00FC2C90">
              <w:rPr>
                <w:noProof/>
                <w:webHidden/>
              </w:rPr>
              <w:tab/>
            </w:r>
            <w:r w:rsidR="00FC2C90">
              <w:rPr>
                <w:noProof/>
                <w:webHidden/>
              </w:rPr>
              <w:fldChar w:fldCharType="begin"/>
            </w:r>
            <w:r w:rsidR="00FC2C90">
              <w:rPr>
                <w:noProof/>
                <w:webHidden/>
              </w:rPr>
              <w:instrText xml:space="preserve"> PAGEREF _Toc225874794 \h </w:instrText>
            </w:r>
            <w:r w:rsidR="00FC2C90">
              <w:rPr>
                <w:noProof/>
                <w:webHidden/>
              </w:rPr>
            </w:r>
            <w:r w:rsidR="00FC2C90">
              <w:rPr>
                <w:noProof/>
                <w:webHidden/>
              </w:rPr>
              <w:fldChar w:fldCharType="separate"/>
            </w:r>
            <w:r w:rsidR="00FC2C90">
              <w:rPr>
                <w:noProof/>
                <w:webHidden/>
              </w:rPr>
              <w:t>35</w:t>
            </w:r>
            <w:r w:rsidR="00FC2C90">
              <w:rPr>
                <w:noProof/>
                <w:webHidden/>
              </w:rPr>
              <w:fldChar w:fldCharType="end"/>
            </w:r>
          </w:hyperlink>
        </w:p>
        <w:p w14:paraId="295063DD" w14:textId="39C2AFD1" w:rsidR="00FC2C90" w:rsidRDefault="00000000">
          <w:pPr>
            <w:pStyle w:val="TDC1"/>
            <w:rPr>
              <w:rFonts w:eastAsiaTheme="minorEastAsia" w:cstheme="minorBidi"/>
              <w:b w:val="0"/>
              <w:bCs w:val="0"/>
              <w:i w:val="0"/>
              <w:iCs w:val="0"/>
              <w:noProof/>
              <w:kern w:val="2"/>
              <w:lang w:val="es-MX" w:eastAsia="es-MX"/>
              <w14:ligatures w14:val="standardContextual"/>
            </w:rPr>
          </w:pPr>
          <w:hyperlink w:anchor="_Toc225874795" w:history="1">
            <w:r w:rsidR="00FC2C90" w:rsidRPr="00DC5518">
              <w:rPr>
                <w:rStyle w:val="Hipervnculo"/>
                <w:rFonts w:ascii="Arial" w:hAnsi="Arial" w:cs="Arial"/>
                <w:noProof/>
                <w:color w:val="023160" w:themeColor="hyperlink" w:themeShade="80"/>
              </w:rPr>
              <w:t>11.</w:t>
            </w:r>
            <w:r w:rsidR="00FC2C90">
              <w:rPr>
                <w:rFonts w:eastAsiaTheme="minorEastAsia" w:cstheme="minorBidi"/>
                <w:b w:val="0"/>
                <w:bCs w:val="0"/>
                <w:i w:val="0"/>
                <w:iCs w:val="0"/>
                <w:noProof/>
                <w:kern w:val="2"/>
                <w:lang w:val="es-MX" w:eastAsia="es-MX"/>
                <w14:ligatures w14:val="standardContextual"/>
              </w:rPr>
              <w:tab/>
            </w:r>
            <w:r w:rsidR="00FC2C90" w:rsidRPr="00DC5518">
              <w:rPr>
                <w:rStyle w:val="Hipervnculo"/>
                <w:rFonts w:ascii="Arial" w:hAnsi="Arial" w:cs="Arial"/>
                <w:noProof/>
                <w:color w:val="023160" w:themeColor="hyperlink" w:themeShade="80"/>
              </w:rPr>
              <w:t>CONCLUSIONES Y RECOMENDACIONES</w:t>
            </w:r>
            <w:r w:rsidR="00FC2C90">
              <w:rPr>
                <w:noProof/>
                <w:webHidden/>
              </w:rPr>
              <w:tab/>
            </w:r>
            <w:r w:rsidR="00FC2C90">
              <w:rPr>
                <w:noProof/>
                <w:webHidden/>
              </w:rPr>
              <w:fldChar w:fldCharType="begin"/>
            </w:r>
            <w:r w:rsidR="00FC2C90">
              <w:rPr>
                <w:noProof/>
                <w:webHidden/>
              </w:rPr>
              <w:instrText xml:space="preserve"> PAGEREF _Toc225874795 \h </w:instrText>
            </w:r>
            <w:r w:rsidR="00FC2C90">
              <w:rPr>
                <w:noProof/>
                <w:webHidden/>
              </w:rPr>
            </w:r>
            <w:r w:rsidR="00FC2C90">
              <w:rPr>
                <w:noProof/>
                <w:webHidden/>
              </w:rPr>
              <w:fldChar w:fldCharType="separate"/>
            </w:r>
            <w:r w:rsidR="00FC2C90">
              <w:rPr>
                <w:noProof/>
                <w:webHidden/>
              </w:rPr>
              <w:t>36</w:t>
            </w:r>
            <w:r w:rsidR="00FC2C90">
              <w:rPr>
                <w:noProof/>
                <w:webHidden/>
              </w:rPr>
              <w:fldChar w:fldCharType="end"/>
            </w:r>
          </w:hyperlink>
        </w:p>
        <w:p w14:paraId="7B6B0F12" w14:textId="0C13E443" w:rsidR="00DE0F1A" w:rsidRPr="00984E2B" w:rsidRDefault="00DB1908" w:rsidP="00CB24C7">
          <w:pPr>
            <w:rPr>
              <w:rFonts w:ascii="Arial" w:hAnsi="Arial" w:cs="Arial"/>
            </w:rPr>
          </w:pPr>
          <w:r w:rsidRPr="00984E2B">
            <w:rPr>
              <w:rFonts w:ascii="Arial" w:hAnsi="Arial" w:cs="Arial"/>
              <w:lang w:val="es-ES"/>
            </w:rPr>
            <w:fldChar w:fldCharType="end"/>
          </w:r>
        </w:p>
      </w:sdtContent>
    </w:sdt>
    <w:p w14:paraId="632EE104" w14:textId="187B346A" w:rsidR="00DE0F1A" w:rsidRPr="00984E2B" w:rsidRDefault="00DE0F1A" w:rsidP="00CB24C7">
      <w:pPr>
        <w:rPr>
          <w:rFonts w:ascii="Arial" w:hAnsi="Arial" w:cs="Arial"/>
          <w:noProof/>
          <w:sz w:val="18"/>
          <w:szCs w:val="18"/>
        </w:rPr>
      </w:pPr>
    </w:p>
    <w:p w14:paraId="0A1DE768" w14:textId="39DA1C9F" w:rsidR="0090494F" w:rsidRPr="00984E2B" w:rsidRDefault="0090494F" w:rsidP="00CB24C7">
      <w:pPr>
        <w:rPr>
          <w:rFonts w:ascii="Arial" w:hAnsi="Arial" w:cs="Arial"/>
          <w:noProof/>
          <w:sz w:val="18"/>
          <w:szCs w:val="18"/>
        </w:rPr>
      </w:pPr>
    </w:p>
    <w:p w14:paraId="7F88DEB1" w14:textId="3012D924" w:rsidR="0090494F" w:rsidRPr="00984E2B" w:rsidRDefault="0090494F" w:rsidP="00CB24C7">
      <w:pPr>
        <w:rPr>
          <w:rFonts w:ascii="Arial" w:hAnsi="Arial" w:cs="Arial"/>
          <w:noProof/>
          <w:sz w:val="18"/>
          <w:szCs w:val="18"/>
        </w:rPr>
      </w:pPr>
    </w:p>
    <w:p w14:paraId="5E20F44C" w14:textId="034701A0" w:rsidR="0090494F" w:rsidRPr="00984E2B" w:rsidRDefault="0090494F" w:rsidP="00CB24C7">
      <w:pPr>
        <w:rPr>
          <w:rFonts w:ascii="Arial" w:hAnsi="Arial" w:cs="Arial"/>
          <w:noProof/>
          <w:sz w:val="18"/>
          <w:szCs w:val="18"/>
        </w:rPr>
      </w:pPr>
    </w:p>
    <w:p w14:paraId="561618D6" w14:textId="27E7BF6F" w:rsidR="0090494F" w:rsidRPr="00984E2B" w:rsidRDefault="0090494F" w:rsidP="00CB24C7">
      <w:pPr>
        <w:rPr>
          <w:rFonts w:ascii="Arial" w:hAnsi="Arial" w:cs="Arial"/>
          <w:noProof/>
          <w:sz w:val="18"/>
          <w:szCs w:val="18"/>
        </w:rPr>
      </w:pPr>
    </w:p>
    <w:p w14:paraId="00A7C10C" w14:textId="39958160" w:rsidR="0090494F" w:rsidRPr="00984E2B" w:rsidRDefault="0090494F" w:rsidP="00CB24C7">
      <w:pPr>
        <w:rPr>
          <w:rFonts w:ascii="Arial" w:hAnsi="Arial" w:cs="Arial"/>
          <w:noProof/>
          <w:sz w:val="18"/>
          <w:szCs w:val="18"/>
        </w:rPr>
      </w:pPr>
    </w:p>
    <w:p w14:paraId="3790FFF1" w14:textId="51F65836" w:rsidR="00B63966" w:rsidRPr="00984E2B" w:rsidRDefault="00B63966">
      <w:pPr>
        <w:spacing w:after="160" w:line="259" w:lineRule="auto"/>
        <w:rPr>
          <w:rFonts w:ascii="Arial" w:hAnsi="Arial" w:cs="Arial"/>
          <w:noProof/>
          <w:sz w:val="18"/>
          <w:szCs w:val="18"/>
        </w:rPr>
      </w:pPr>
      <w:r w:rsidRPr="00984E2B">
        <w:rPr>
          <w:rFonts w:ascii="Arial" w:hAnsi="Arial" w:cs="Arial"/>
          <w:noProof/>
          <w:sz w:val="18"/>
          <w:szCs w:val="18"/>
        </w:rPr>
        <w:br w:type="page"/>
      </w:r>
    </w:p>
    <w:p w14:paraId="3161872B" w14:textId="7D3664DE" w:rsidR="0090494F" w:rsidRPr="00CB24C7" w:rsidRDefault="0090494F" w:rsidP="00CB24C7">
      <w:pPr>
        <w:rPr>
          <w:rFonts w:ascii="Arial" w:hAnsi="Arial" w:cs="Arial"/>
          <w:b/>
          <w:bCs/>
          <w:noProof/>
          <w:sz w:val="18"/>
          <w:szCs w:val="18"/>
        </w:rPr>
      </w:pPr>
    </w:p>
    <w:p w14:paraId="0F860797" w14:textId="635D38F3" w:rsidR="0070764E" w:rsidRPr="000E53E1" w:rsidRDefault="0070764E" w:rsidP="005F760B">
      <w:pPr>
        <w:pStyle w:val="Ttulo1"/>
        <w:numPr>
          <w:ilvl w:val="0"/>
          <w:numId w:val="7"/>
        </w:numPr>
        <w:spacing w:before="0"/>
        <w:jc w:val="both"/>
        <w:rPr>
          <w:rFonts w:ascii="Arial" w:hAnsi="Arial" w:cs="Arial"/>
          <w:b/>
          <w:bCs/>
          <w:color w:val="538135" w:themeColor="accent6" w:themeShade="BF"/>
          <w:sz w:val="22"/>
          <w:szCs w:val="22"/>
          <w:lang w:val="es-ES_tradnl"/>
        </w:rPr>
      </w:pPr>
      <w:bookmarkStart w:id="1" w:name="_Toc225874776"/>
      <w:r w:rsidRPr="000E53E1">
        <w:rPr>
          <w:rFonts w:ascii="Arial" w:hAnsi="Arial" w:cs="Arial"/>
          <w:b/>
          <w:bCs/>
          <w:color w:val="385623" w:themeColor="accent6" w:themeShade="80"/>
          <w:sz w:val="22"/>
          <w:szCs w:val="22"/>
          <w:lang w:val="es-ES_tradnl"/>
        </w:rPr>
        <w:t>INTRODUCCIÓN</w:t>
      </w:r>
      <w:bookmarkEnd w:id="1"/>
      <w:r w:rsidR="007E314E" w:rsidRPr="000E53E1">
        <w:rPr>
          <w:rFonts w:ascii="Arial" w:hAnsi="Arial" w:cs="Arial"/>
          <w:b/>
          <w:bCs/>
          <w:color w:val="538135" w:themeColor="accent6" w:themeShade="BF"/>
          <w:sz w:val="22"/>
          <w:szCs w:val="22"/>
          <w:lang w:val="es-ES_tradnl"/>
        </w:rPr>
        <w:t xml:space="preserve"> </w:t>
      </w:r>
    </w:p>
    <w:p w14:paraId="2C375568" w14:textId="77777777" w:rsidR="009F5ECF" w:rsidRPr="00CB24C7" w:rsidRDefault="009F5ECF" w:rsidP="00CB24C7">
      <w:pPr>
        <w:ind w:left="360"/>
        <w:jc w:val="both"/>
        <w:rPr>
          <w:rFonts w:ascii="Arial" w:hAnsi="Arial" w:cs="Arial"/>
          <w:sz w:val="22"/>
          <w:szCs w:val="22"/>
          <w:lang w:val="es-ES_tradnl"/>
        </w:rPr>
      </w:pPr>
    </w:p>
    <w:p w14:paraId="4CA02DEA" w14:textId="01F487E9" w:rsidR="0017217B" w:rsidRPr="0017217B" w:rsidRDefault="0017217B" w:rsidP="00CB24C7">
      <w:pPr>
        <w:pStyle w:val="Standard"/>
        <w:spacing w:line="240" w:lineRule="auto"/>
        <w:jc w:val="both"/>
        <w:rPr>
          <w:rFonts w:ascii="Arial" w:hAnsi="Arial" w:cs="Arial"/>
          <w:color w:val="EE0000"/>
          <w:lang w:val="es-ES_tradnl"/>
        </w:rPr>
      </w:pPr>
      <w:r w:rsidRPr="0017217B">
        <w:rPr>
          <w:rFonts w:ascii="Arial" w:hAnsi="Arial" w:cs="Arial"/>
          <w:color w:val="EE0000"/>
          <w:lang w:val="es-ES_tradnl"/>
        </w:rPr>
        <w:t>CATALINA</w:t>
      </w:r>
    </w:p>
    <w:p w14:paraId="7A09BE0A" w14:textId="6780A0A8" w:rsidR="008A6AF2" w:rsidRDefault="0070764E" w:rsidP="00CB24C7">
      <w:pPr>
        <w:pStyle w:val="Standard"/>
        <w:spacing w:line="240" w:lineRule="auto"/>
        <w:jc w:val="both"/>
        <w:rPr>
          <w:rFonts w:ascii="Arial" w:hAnsi="Arial" w:cs="Arial"/>
        </w:rPr>
      </w:pPr>
      <w:r w:rsidRPr="00CB24C7">
        <w:rPr>
          <w:rFonts w:ascii="Arial" w:hAnsi="Arial" w:cs="Arial"/>
          <w:lang w:val="es-ES_tradnl"/>
        </w:rPr>
        <w:t>El Ministerio de Agricultura y Desarrollo Rural</w:t>
      </w:r>
      <w:r w:rsidR="00F40C85" w:rsidRPr="00CB24C7">
        <w:rPr>
          <w:rFonts w:ascii="Arial" w:hAnsi="Arial" w:cs="Arial"/>
          <w:lang w:val="es-ES_tradnl"/>
        </w:rPr>
        <w:t xml:space="preserve"> - </w:t>
      </w:r>
      <w:r w:rsidR="00423995">
        <w:rPr>
          <w:rFonts w:ascii="Arial" w:hAnsi="Arial" w:cs="Arial"/>
          <w:lang w:val="es-ES_tradnl"/>
        </w:rPr>
        <w:t xml:space="preserve"> en adelante </w:t>
      </w:r>
      <w:r w:rsidR="00F40C85" w:rsidRPr="00CB24C7">
        <w:rPr>
          <w:rFonts w:ascii="Arial" w:hAnsi="Arial" w:cs="Arial"/>
          <w:lang w:val="es-ES_tradnl"/>
        </w:rPr>
        <w:t>MADR</w:t>
      </w:r>
      <w:r w:rsidRPr="00CB24C7">
        <w:rPr>
          <w:rFonts w:ascii="Arial" w:hAnsi="Arial" w:cs="Arial"/>
          <w:lang w:val="es-ES_tradnl"/>
        </w:rPr>
        <w:t xml:space="preserve"> tiene a su cargo el seguimiento de</w:t>
      </w:r>
      <w:r w:rsidR="003E5940" w:rsidRPr="00CB24C7">
        <w:rPr>
          <w:rFonts w:ascii="Arial" w:hAnsi="Arial" w:cs="Arial"/>
          <w:lang w:val="es-ES_tradnl"/>
        </w:rPr>
        <w:t xml:space="preserve"> las metas trazadas</w:t>
      </w:r>
      <w:r w:rsidRPr="00CB24C7">
        <w:rPr>
          <w:rFonts w:ascii="Arial" w:hAnsi="Arial" w:cs="Arial"/>
          <w:lang w:val="es-ES_tradnl"/>
        </w:rPr>
        <w:t xml:space="preserve"> en el marco del</w:t>
      </w:r>
      <w:r w:rsidR="00983034">
        <w:rPr>
          <w:rFonts w:ascii="Arial" w:hAnsi="Arial" w:cs="Arial"/>
          <w:lang w:val="es-ES_tradnl"/>
        </w:rPr>
        <w:t xml:space="preserve"> cierre del</w:t>
      </w:r>
      <w:r w:rsidRPr="00CB24C7">
        <w:rPr>
          <w:rFonts w:ascii="Arial" w:hAnsi="Arial" w:cs="Arial"/>
          <w:lang w:val="es-ES_tradnl"/>
        </w:rPr>
        <w:t xml:space="preserve"> Programa de </w:t>
      </w:r>
      <w:r w:rsidR="00983034">
        <w:rPr>
          <w:rFonts w:ascii="Arial" w:hAnsi="Arial" w:cs="Arial"/>
          <w:lang w:val="es-ES_tradnl"/>
        </w:rPr>
        <w:t xml:space="preserve">Subsidios de </w:t>
      </w:r>
      <w:r w:rsidRPr="00CB24C7">
        <w:rPr>
          <w:rFonts w:ascii="Arial" w:hAnsi="Arial" w:cs="Arial"/>
          <w:lang w:val="es-ES_tradnl"/>
        </w:rPr>
        <w:t xml:space="preserve">Vivienda de Interés Social y Prioritario Rural - PVISR </w:t>
      </w:r>
      <w:r w:rsidR="00DA6E02">
        <w:rPr>
          <w:rFonts w:ascii="Arial" w:hAnsi="Arial" w:cs="Arial"/>
          <w:lang w:val="es-ES_tradnl"/>
        </w:rPr>
        <w:t xml:space="preserve">el cual tiene como propósito principal </w:t>
      </w:r>
      <w:r w:rsidRPr="00CB24C7">
        <w:rPr>
          <w:rFonts w:ascii="Arial" w:hAnsi="Arial" w:cs="Arial"/>
          <w:lang w:val="es-ES_tradnl"/>
        </w:rPr>
        <w:t xml:space="preserve"> </w:t>
      </w:r>
      <w:r w:rsidR="00423995">
        <w:rPr>
          <w:rFonts w:ascii="Arial" w:hAnsi="Arial" w:cs="Arial"/>
          <w:lang w:val="es-ES_tradnl"/>
        </w:rPr>
        <w:t xml:space="preserve">gestionar en debida forma la indexación, cierre financiero y la materialización de los subsidios de vivienda que fueron otorgados </w:t>
      </w:r>
      <w:r w:rsidR="00983034">
        <w:rPr>
          <w:rFonts w:ascii="Arial" w:hAnsi="Arial" w:cs="Arial"/>
          <w:lang w:val="es-ES_tradnl"/>
        </w:rPr>
        <w:t xml:space="preserve">con anterioridad </w:t>
      </w:r>
      <w:r w:rsidRPr="00CB24C7">
        <w:rPr>
          <w:rFonts w:ascii="Arial" w:hAnsi="Arial" w:cs="Arial"/>
          <w:lang w:val="es-ES_tradnl"/>
        </w:rPr>
        <w:t>a</w:t>
      </w:r>
      <w:r w:rsidR="00423995">
        <w:rPr>
          <w:rFonts w:ascii="Arial" w:hAnsi="Arial" w:cs="Arial"/>
          <w:lang w:val="es-ES_tradnl"/>
        </w:rPr>
        <w:t>l 1 de enero de</w:t>
      </w:r>
      <w:r w:rsidRPr="00CB24C7">
        <w:rPr>
          <w:rFonts w:ascii="Arial" w:hAnsi="Arial" w:cs="Arial"/>
          <w:lang w:val="es-ES_tradnl"/>
        </w:rPr>
        <w:t xml:space="preserve"> </w:t>
      </w:r>
      <w:r w:rsidR="00102A13" w:rsidRPr="00CB24C7">
        <w:rPr>
          <w:rFonts w:ascii="Arial" w:hAnsi="Arial" w:cs="Arial"/>
          <w:lang w:val="es-ES_tradnl"/>
        </w:rPr>
        <w:t>2</w:t>
      </w:r>
      <w:r w:rsidRPr="00CB24C7">
        <w:rPr>
          <w:rFonts w:ascii="Arial" w:hAnsi="Arial" w:cs="Arial"/>
          <w:lang w:val="es-ES_tradnl"/>
        </w:rPr>
        <w:t xml:space="preserve">020, </w:t>
      </w:r>
      <w:r w:rsidR="00423995">
        <w:rPr>
          <w:rFonts w:ascii="Arial" w:hAnsi="Arial" w:cs="Arial"/>
          <w:lang w:val="es-ES_tradnl"/>
        </w:rPr>
        <w:t xml:space="preserve">actuando de forma articulada </w:t>
      </w:r>
      <w:r w:rsidR="00DA6E02">
        <w:rPr>
          <w:rFonts w:ascii="Arial" w:hAnsi="Arial" w:cs="Arial"/>
          <w:lang w:val="es-ES_tradnl"/>
        </w:rPr>
        <w:t xml:space="preserve">con las entidades </w:t>
      </w:r>
      <w:r w:rsidR="002C259C">
        <w:rPr>
          <w:rFonts w:ascii="Arial" w:hAnsi="Arial" w:cs="Arial"/>
          <w:lang w:val="es-ES_tradnl"/>
        </w:rPr>
        <w:t>participantes en el programa</w:t>
      </w:r>
      <w:r w:rsidRPr="00CB24C7">
        <w:rPr>
          <w:rFonts w:ascii="Arial" w:hAnsi="Arial" w:cs="Arial"/>
          <w:lang w:val="es-ES_tradnl"/>
        </w:rPr>
        <w:t>.</w:t>
      </w:r>
      <w:r w:rsidR="001E32DB" w:rsidRPr="00CB24C7">
        <w:rPr>
          <w:rFonts w:ascii="Arial" w:hAnsi="Arial" w:cs="Arial"/>
        </w:rPr>
        <w:t xml:space="preserve"> </w:t>
      </w:r>
    </w:p>
    <w:p w14:paraId="5AD858D5" w14:textId="77777777" w:rsidR="008A6AF2" w:rsidRDefault="008A6AF2" w:rsidP="00CB24C7">
      <w:pPr>
        <w:pStyle w:val="Standard"/>
        <w:spacing w:line="240" w:lineRule="auto"/>
        <w:jc w:val="both"/>
        <w:rPr>
          <w:rFonts w:ascii="Arial" w:hAnsi="Arial" w:cs="Arial"/>
        </w:rPr>
      </w:pPr>
    </w:p>
    <w:p w14:paraId="631D4975" w14:textId="193511CB" w:rsidR="0078548F" w:rsidRPr="00CB24C7" w:rsidRDefault="008A6AF2" w:rsidP="00DC6794">
      <w:pPr>
        <w:pStyle w:val="Standard"/>
        <w:spacing w:line="240" w:lineRule="auto"/>
        <w:jc w:val="both"/>
        <w:rPr>
          <w:rFonts w:ascii="Arial" w:hAnsi="Arial" w:cs="Arial"/>
        </w:rPr>
      </w:pPr>
      <w:r>
        <w:rPr>
          <w:rFonts w:ascii="Arial" w:hAnsi="Arial" w:cs="Arial"/>
        </w:rPr>
        <w:t>D</w:t>
      </w:r>
      <w:r w:rsidR="001E32DB" w:rsidRPr="00CB24C7">
        <w:rPr>
          <w:rFonts w:ascii="Arial" w:hAnsi="Arial" w:cs="Arial"/>
        </w:rPr>
        <w:t xml:space="preserve">esde la vigencia 2000 </w:t>
      </w:r>
      <w:r>
        <w:rPr>
          <w:rFonts w:ascii="Arial" w:hAnsi="Arial" w:cs="Arial"/>
        </w:rPr>
        <w:t xml:space="preserve">el Ministerio de Agricultura y Desarrollo Rural </w:t>
      </w:r>
      <w:r w:rsidR="001E32DB" w:rsidRPr="00CB24C7">
        <w:rPr>
          <w:rFonts w:ascii="Arial" w:hAnsi="Arial" w:cs="Arial"/>
        </w:rPr>
        <w:t>ha financiado el Programa VISR</w:t>
      </w:r>
      <w:r>
        <w:rPr>
          <w:rFonts w:ascii="Arial" w:hAnsi="Arial" w:cs="Arial"/>
        </w:rPr>
        <w:t xml:space="preserve"> y dirigió la política en esta materia</w:t>
      </w:r>
      <w:r w:rsidR="001E32DB" w:rsidRPr="00CB24C7">
        <w:rPr>
          <w:rFonts w:ascii="Arial" w:hAnsi="Arial" w:cs="Arial"/>
        </w:rPr>
        <w:t>.</w:t>
      </w:r>
      <w:r>
        <w:rPr>
          <w:rFonts w:ascii="Arial" w:hAnsi="Arial" w:cs="Arial"/>
        </w:rPr>
        <w:t xml:space="preserve"> Desde el año 2000</w:t>
      </w:r>
      <w:r w:rsidR="001E32DB" w:rsidRPr="00CB24C7">
        <w:rPr>
          <w:rFonts w:ascii="Arial" w:hAnsi="Arial" w:cs="Arial"/>
        </w:rPr>
        <w:t xml:space="preserve"> hasta el año 2017, el Ministerio transfería los fondos del </w:t>
      </w:r>
      <w:r w:rsidR="002C259C">
        <w:rPr>
          <w:rFonts w:ascii="Arial" w:hAnsi="Arial" w:cs="Arial"/>
        </w:rPr>
        <w:t>p</w:t>
      </w:r>
      <w:r w:rsidR="001E32DB" w:rsidRPr="00CB24C7">
        <w:rPr>
          <w:rFonts w:ascii="Arial" w:hAnsi="Arial" w:cs="Arial"/>
        </w:rPr>
        <w:t>rograma</w:t>
      </w:r>
      <w:r w:rsidR="002C259C">
        <w:rPr>
          <w:rFonts w:ascii="Arial" w:hAnsi="Arial" w:cs="Arial"/>
        </w:rPr>
        <w:t xml:space="preserve"> de subsidios de vivienda rural</w:t>
      </w:r>
      <w:r w:rsidR="001E32DB" w:rsidRPr="00CB24C7">
        <w:rPr>
          <w:rFonts w:ascii="Arial" w:hAnsi="Arial" w:cs="Arial"/>
        </w:rPr>
        <w:t xml:space="preserve"> al Banco Agrario de Colombia</w:t>
      </w:r>
      <w:r>
        <w:rPr>
          <w:rFonts w:ascii="Arial" w:hAnsi="Arial" w:cs="Arial"/>
        </w:rPr>
        <w:t xml:space="preserve"> S.A.</w:t>
      </w:r>
      <w:r w:rsidR="001E32DB" w:rsidRPr="00CB24C7">
        <w:rPr>
          <w:rFonts w:ascii="Arial" w:hAnsi="Arial" w:cs="Arial"/>
        </w:rPr>
        <w:t>, entidad que</w:t>
      </w:r>
      <w:r>
        <w:rPr>
          <w:rFonts w:ascii="Arial" w:hAnsi="Arial" w:cs="Arial"/>
        </w:rPr>
        <w:t xml:space="preserve"> ese periodo ejerció el rol de entidad otorgante. A partir del año 2018, con la </w:t>
      </w:r>
      <w:r w:rsidR="002C259C">
        <w:rPr>
          <w:rFonts w:ascii="Arial" w:hAnsi="Arial" w:cs="Arial"/>
        </w:rPr>
        <w:t>entrada en vigor</w:t>
      </w:r>
      <w:r>
        <w:rPr>
          <w:rFonts w:ascii="Arial" w:hAnsi="Arial" w:cs="Arial"/>
        </w:rPr>
        <w:t xml:space="preserve"> del Decreto 890 de 2017, l</w:t>
      </w:r>
      <w:r w:rsidR="001E32DB" w:rsidRPr="00CB24C7">
        <w:rPr>
          <w:rFonts w:ascii="Arial" w:hAnsi="Arial" w:cs="Arial"/>
        </w:rPr>
        <w:t xml:space="preserve">a Dirección </w:t>
      </w:r>
      <w:r>
        <w:rPr>
          <w:rFonts w:ascii="Arial" w:hAnsi="Arial" w:cs="Arial"/>
        </w:rPr>
        <w:t xml:space="preserve">de Gestión de Bienes Públicos Rurales </w:t>
      </w:r>
      <w:r w:rsidR="002C259C">
        <w:rPr>
          <w:rFonts w:ascii="Arial" w:hAnsi="Arial" w:cs="Arial"/>
        </w:rPr>
        <w:t xml:space="preserve">del MADR </w:t>
      </w:r>
      <w:r>
        <w:rPr>
          <w:rFonts w:ascii="Arial" w:hAnsi="Arial" w:cs="Arial"/>
        </w:rPr>
        <w:t>adoptó el rol d</w:t>
      </w:r>
      <w:r w:rsidR="002C259C">
        <w:rPr>
          <w:rFonts w:ascii="Arial" w:hAnsi="Arial" w:cs="Arial"/>
        </w:rPr>
        <w:t xml:space="preserve">e </w:t>
      </w:r>
      <w:r w:rsidR="002C259C" w:rsidRPr="00CB24C7">
        <w:rPr>
          <w:rFonts w:ascii="Arial" w:hAnsi="Arial" w:cs="Arial"/>
        </w:rPr>
        <w:t xml:space="preserve">entidad otorgante de </w:t>
      </w:r>
      <w:r w:rsidR="002E793F" w:rsidRPr="00CB24C7">
        <w:rPr>
          <w:rFonts w:ascii="Arial" w:hAnsi="Arial" w:cs="Arial"/>
        </w:rPr>
        <w:t>los subsidios de vivienda rural.</w:t>
      </w:r>
    </w:p>
    <w:p w14:paraId="214EEC29" w14:textId="77777777" w:rsidR="00A43EA5" w:rsidRPr="00CB24C7" w:rsidRDefault="00A43EA5" w:rsidP="00CB24C7">
      <w:pPr>
        <w:pStyle w:val="Standard"/>
        <w:spacing w:line="240" w:lineRule="auto"/>
        <w:jc w:val="both"/>
        <w:rPr>
          <w:rFonts w:ascii="Arial" w:hAnsi="Arial" w:cs="Arial"/>
        </w:rPr>
      </w:pPr>
    </w:p>
    <w:p w14:paraId="51640505" w14:textId="1D47A4E2" w:rsidR="00A43EA5" w:rsidRPr="00CB24C7" w:rsidRDefault="003E5940" w:rsidP="00CB24C7">
      <w:pPr>
        <w:pStyle w:val="Descripcin"/>
        <w:spacing w:after="0"/>
        <w:jc w:val="center"/>
        <w:rPr>
          <w:rFonts w:ascii="Arial" w:hAnsi="Arial" w:cs="Arial"/>
          <w:i w:val="0"/>
          <w:iCs w:val="0"/>
          <w:color w:val="000000" w:themeColor="text1"/>
          <w:sz w:val="22"/>
          <w:szCs w:val="22"/>
        </w:rPr>
      </w:pPr>
      <w:bookmarkStart w:id="2" w:name="_Toc102506201"/>
      <w:commentRangeStart w:id="3"/>
      <w:r w:rsidRPr="00CB24C7">
        <w:rPr>
          <w:rFonts w:ascii="Arial" w:hAnsi="Arial" w:cs="Arial"/>
          <w:i w:val="0"/>
          <w:iCs w:val="0"/>
          <w:color w:val="000000" w:themeColor="text1"/>
          <w:sz w:val="22"/>
          <w:szCs w:val="22"/>
        </w:rPr>
        <w:t>Gráfico</w:t>
      </w:r>
      <w:r w:rsidR="003A4C1F" w:rsidRPr="00CB24C7">
        <w:rPr>
          <w:rFonts w:ascii="Arial" w:hAnsi="Arial" w:cs="Arial"/>
          <w:i w:val="0"/>
          <w:iCs w:val="0"/>
          <w:color w:val="000000" w:themeColor="text1"/>
          <w:sz w:val="22"/>
          <w:szCs w:val="22"/>
        </w:rPr>
        <w:t xml:space="preserve"> </w:t>
      </w:r>
      <w:r w:rsidR="003A4C1F" w:rsidRPr="00CB24C7">
        <w:rPr>
          <w:rFonts w:ascii="Arial" w:hAnsi="Arial" w:cs="Arial"/>
          <w:i w:val="0"/>
          <w:iCs w:val="0"/>
          <w:color w:val="000000" w:themeColor="text1"/>
          <w:sz w:val="22"/>
          <w:szCs w:val="22"/>
        </w:rPr>
        <w:fldChar w:fldCharType="begin"/>
      </w:r>
      <w:r w:rsidR="003A4C1F" w:rsidRPr="00CB24C7">
        <w:rPr>
          <w:rFonts w:ascii="Arial" w:hAnsi="Arial" w:cs="Arial"/>
          <w:i w:val="0"/>
          <w:iCs w:val="0"/>
          <w:color w:val="000000" w:themeColor="text1"/>
          <w:sz w:val="22"/>
          <w:szCs w:val="22"/>
        </w:rPr>
        <w:instrText xml:space="preserve"> SEQ grafico \* ARABIC </w:instrText>
      </w:r>
      <w:r w:rsidR="003A4C1F" w:rsidRPr="00CB24C7">
        <w:rPr>
          <w:rFonts w:ascii="Arial" w:hAnsi="Arial" w:cs="Arial"/>
          <w:i w:val="0"/>
          <w:iCs w:val="0"/>
          <w:color w:val="000000" w:themeColor="text1"/>
          <w:sz w:val="22"/>
          <w:szCs w:val="22"/>
        </w:rPr>
        <w:fldChar w:fldCharType="separate"/>
      </w:r>
      <w:r w:rsidR="005E3BDC">
        <w:rPr>
          <w:rFonts w:ascii="Arial" w:hAnsi="Arial" w:cs="Arial"/>
          <w:i w:val="0"/>
          <w:iCs w:val="0"/>
          <w:noProof/>
          <w:color w:val="000000" w:themeColor="text1"/>
          <w:sz w:val="22"/>
          <w:szCs w:val="22"/>
        </w:rPr>
        <w:t>1</w:t>
      </w:r>
      <w:r w:rsidR="003A4C1F" w:rsidRPr="00CB24C7">
        <w:rPr>
          <w:rFonts w:ascii="Arial" w:hAnsi="Arial" w:cs="Arial"/>
          <w:i w:val="0"/>
          <w:iCs w:val="0"/>
          <w:color w:val="000000" w:themeColor="text1"/>
          <w:sz w:val="22"/>
          <w:szCs w:val="22"/>
        </w:rPr>
        <w:fldChar w:fldCharType="end"/>
      </w:r>
      <w:commentRangeEnd w:id="3"/>
      <w:r w:rsidR="0017217B" w:rsidRPr="00CB24C7">
        <w:rPr>
          <w:rStyle w:val="Refdecomentario"/>
          <w:rFonts w:ascii="Arial" w:hAnsi="Arial" w:cs="Arial"/>
          <w:i w:val="0"/>
          <w:iCs w:val="0"/>
          <w:color w:val="000000" w:themeColor="text1"/>
          <w:sz w:val="22"/>
          <w:szCs w:val="22"/>
        </w:rPr>
        <w:commentReference w:id="3"/>
      </w:r>
      <w:r w:rsidR="00A43EA5" w:rsidRPr="00CB24C7">
        <w:rPr>
          <w:rFonts w:ascii="Arial" w:hAnsi="Arial" w:cs="Arial"/>
          <w:i w:val="0"/>
          <w:iCs w:val="0"/>
          <w:color w:val="000000" w:themeColor="text1"/>
          <w:sz w:val="22"/>
          <w:szCs w:val="22"/>
        </w:rPr>
        <w:t xml:space="preserve"> </w:t>
      </w:r>
      <w:r w:rsidR="009E4B0D" w:rsidRPr="00CB24C7">
        <w:rPr>
          <w:rFonts w:ascii="Arial" w:hAnsi="Arial" w:cs="Arial"/>
          <w:i w:val="0"/>
          <w:iCs w:val="0"/>
          <w:color w:val="000000" w:themeColor="text1"/>
          <w:sz w:val="22"/>
          <w:szCs w:val="22"/>
        </w:rPr>
        <w:t>Entidades operadoras del PVISR según vigencias</w:t>
      </w:r>
      <w:bookmarkEnd w:id="2"/>
    </w:p>
    <w:p w14:paraId="575528B7" w14:textId="39BE4FA3" w:rsidR="00782131" w:rsidRPr="00CB24C7" w:rsidRDefault="00782131" w:rsidP="00CB24C7">
      <w:pPr>
        <w:pStyle w:val="Standard"/>
        <w:spacing w:line="240" w:lineRule="auto"/>
        <w:jc w:val="both"/>
        <w:rPr>
          <w:rFonts w:ascii="Arial" w:hAnsi="Arial" w:cs="Arial"/>
        </w:rPr>
      </w:pPr>
    </w:p>
    <w:p w14:paraId="5501FCFA" w14:textId="1B2B9166" w:rsidR="00782131" w:rsidRDefault="00E73243" w:rsidP="00CB24C7">
      <w:pPr>
        <w:pStyle w:val="Standard"/>
        <w:spacing w:line="240" w:lineRule="auto"/>
        <w:jc w:val="both"/>
        <w:rPr>
          <w:rFonts w:ascii="Arial" w:hAnsi="Arial" w:cs="Arial"/>
          <w:noProof/>
          <w:lang w:val="es-CO" w:eastAsia="es-CO"/>
        </w:rPr>
      </w:pPr>
      <w:r w:rsidRPr="00CB24C7">
        <w:rPr>
          <w:rFonts w:ascii="Arial" w:hAnsi="Arial" w:cs="Arial"/>
          <w:noProof/>
          <w:lang w:val="es-CO" w:eastAsia="es-CO"/>
        </w:rPr>
        <w:drawing>
          <wp:inline distT="0" distB="0" distL="0" distR="0" wp14:anchorId="7175C4CD" wp14:editId="1B739175">
            <wp:extent cx="5612130" cy="2993095"/>
            <wp:effectExtent l="0" t="0" r="7620" b="36195"/>
            <wp:docPr id="9" name="Diagrama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1898995C" w14:textId="0C4238CC" w:rsidR="008A6AF2" w:rsidRDefault="008A6AF2" w:rsidP="00CB24C7">
      <w:pPr>
        <w:pStyle w:val="Standard"/>
        <w:spacing w:line="240" w:lineRule="auto"/>
        <w:jc w:val="both"/>
        <w:rPr>
          <w:rFonts w:ascii="Arial" w:hAnsi="Arial" w:cs="Arial"/>
          <w:noProof/>
          <w:lang w:val="es-CO" w:eastAsia="es-CO"/>
        </w:rPr>
      </w:pPr>
    </w:p>
    <w:p w14:paraId="05CCCA42" w14:textId="63899F15" w:rsidR="008A6AF2" w:rsidRDefault="00CF0D4E" w:rsidP="00CB24C7">
      <w:pPr>
        <w:pStyle w:val="Standard"/>
        <w:spacing w:line="240" w:lineRule="auto"/>
        <w:jc w:val="both"/>
        <w:rPr>
          <w:rFonts w:ascii="Arial" w:hAnsi="Arial" w:cs="Arial"/>
          <w:noProof/>
          <w:lang w:val="es-CO" w:eastAsia="es-CO"/>
        </w:rPr>
      </w:pPr>
      <w:r>
        <w:rPr>
          <w:rFonts w:ascii="Arial" w:hAnsi="Arial" w:cs="Arial"/>
          <w:noProof/>
          <w:lang w:val="es-CO" w:eastAsia="es-CO"/>
        </w:rPr>
        <mc:AlternateContent>
          <mc:Choice Requires="wps">
            <w:drawing>
              <wp:anchor distT="0" distB="0" distL="114300" distR="114300" simplePos="0" relativeHeight="251692032" behindDoc="0" locked="0" layoutInCell="1" allowOverlap="1" wp14:anchorId="304D57ED" wp14:editId="65A3F778">
                <wp:simplePos x="0" y="0"/>
                <wp:positionH relativeFrom="column">
                  <wp:posOffset>3080385</wp:posOffset>
                </wp:positionH>
                <wp:positionV relativeFrom="paragraph">
                  <wp:posOffset>6350</wp:posOffset>
                </wp:positionV>
                <wp:extent cx="2867660" cy="266700"/>
                <wp:effectExtent l="0" t="0" r="27940" b="19050"/>
                <wp:wrapNone/>
                <wp:docPr id="785035838" name="Rectángulo 16"/>
                <wp:cNvGraphicFramePr/>
                <a:graphic xmlns:a="http://schemas.openxmlformats.org/drawingml/2006/main">
                  <a:graphicData uri="http://schemas.microsoft.com/office/word/2010/wordprocessingShape">
                    <wps:wsp>
                      <wps:cNvSpPr/>
                      <wps:spPr>
                        <a:xfrm>
                          <a:off x="0" y="0"/>
                          <a:ext cx="2867660" cy="266700"/>
                        </a:xfrm>
                        <a:prstGeom prst="rect">
                          <a:avLst/>
                        </a:prstGeom>
                        <a:solidFill>
                          <a:schemeClr val="bg1"/>
                        </a:solid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9BDCA3D" w14:textId="24A39B1E" w:rsidR="00E73243" w:rsidRDefault="00E73243" w:rsidP="00E73243">
                            <w:pPr>
                              <w:jc w:val="center"/>
                            </w:pPr>
                            <w:r>
                              <w:rPr>
                                <w:color w:val="000000" w:themeColor="text1"/>
                                <w:sz w:val="18"/>
                                <w:szCs w:val="18"/>
                              </w:rPr>
                              <w:t>Rol Ministerio Agricultura y Desarrollo Rural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04D57ED" id="Rectángulo 16" o:spid="_x0000_s1030" style="position:absolute;left:0;text-align:left;margin-left:242.55pt;margin-top:.5pt;width:225.8pt;height:21pt;z-index:251692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" fillcolor="white [3212]" strokecolor="#0070c0" strokeweight="1pt">
                <v:textbox>
                  <w:txbxContent>
                    <w:p w14:paraId="79BDCA3D" w14:textId="24A39B1E" w:rsidR="00E73243" w:rsidRDefault="00E73243" w:rsidP="00E73243">
                      <w:pPr>
                        <w:jc w:val="center"/>
                      </w:pPr>
                      <w:r>
                        <w:rPr>
                          <w:color w:val="000000" w:themeColor="text1"/>
                          <w:sz w:val="18"/>
                          <w:szCs w:val="18"/>
                        </w:rPr>
                        <w:t>Rol Ministerio Agricultura y Desarrollo Rural</w:t>
                      </w:r>
                    </w:p>
                  </w:txbxContent>
                </v:textbox>
              </v:rect>
            </w:pict>
          </mc:Fallback>
        </mc:AlternateContent>
      </w:r>
      <w:r>
        <w:rPr>
          <w:rFonts w:ascii="Arial" w:hAnsi="Arial" w:cs="Arial"/>
          <w:noProof/>
          <w:lang w:val="es-CO" w:eastAsia="es-CO"/>
        </w:rPr>
        <mc:AlternateContent>
          <mc:Choice Requires="wps">
            <w:drawing>
              <wp:anchor distT="0" distB="0" distL="114300" distR="114300" simplePos="0" relativeHeight="251689984" behindDoc="0" locked="0" layoutInCell="1" allowOverlap="1" wp14:anchorId="66C5CA25" wp14:editId="32568685">
                <wp:simplePos x="0" y="0"/>
                <wp:positionH relativeFrom="margin">
                  <wp:align>left</wp:align>
                </wp:positionH>
                <wp:positionV relativeFrom="paragraph">
                  <wp:posOffset>5080</wp:posOffset>
                </wp:positionV>
                <wp:extent cx="2867891" cy="257694"/>
                <wp:effectExtent l="0" t="0" r="27940" b="28575"/>
                <wp:wrapNone/>
                <wp:docPr id="1313003991" name="Rectángulo 16"/>
                <wp:cNvGraphicFramePr/>
                <a:graphic xmlns:a="http://schemas.openxmlformats.org/drawingml/2006/main">
                  <a:graphicData uri="http://schemas.microsoft.com/office/word/2010/wordprocessingShape">
                    <wps:wsp>
                      <wps:cNvSpPr/>
                      <wps:spPr>
                        <a:xfrm>
                          <a:off x="0" y="0"/>
                          <a:ext cx="2867891" cy="257694"/>
                        </a:xfrm>
                        <a:prstGeom prst="rect">
                          <a:avLst/>
                        </a:prstGeom>
                        <a:solidFill>
                          <a:schemeClr val="bg1"/>
                        </a:solidFill>
                        <a:ln>
                          <a:solidFill>
                            <a:srgbClr val="0070C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680095" w14:textId="734BDCF3" w:rsidR="00E73243" w:rsidRPr="00E73243" w:rsidRDefault="00E73243" w:rsidP="00E73243">
                            <w:pPr>
                              <w:jc w:val="center"/>
                              <w:rPr>
                                <w:color w:val="000000" w:themeColor="text1"/>
                                <w:sz w:val="18"/>
                                <w:szCs w:val="18"/>
                              </w:rPr>
                            </w:pPr>
                            <w:r>
                              <w:rPr>
                                <w:color w:val="000000" w:themeColor="text1"/>
                                <w:sz w:val="18"/>
                                <w:szCs w:val="18"/>
                              </w:rPr>
                              <w:t>Rol Ministerio Agricultura y Desarrollo Rural</w:t>
                            </w:r>
                            <w:r w:rsidRPr="00E73243">
                              <w:rPr>
                                <w:color w:val="000000" w:themeColor="text1"/>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C5CA25" id="_x0000_s1031" style="position:absolute;left:0;text-align:left;margin-left:0;margin-top:.4pt;width:225.8pt;height:20.3pt;z-index:25168998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" fillcolor="white [3212]" strokecolor="#0070c0" strokeweight="1pt">
                <v:textbox>
                  <w:txbxContent>
                    <w:p w14:paraId="6F680095" w14:textId="734BDCF3" w:rsidR="00E73243" w:rsidRPr="00E73243" w:rsidRDefault="00E73243" w:rsidP="00E73243">
                      <w:pPr>
                        <w:jc w:val="center"/>
                        <w:rPr>
                          <w:color w:val="000000" w:themeColor="text1"/>
                          <w:sz w:val="18"/>
                          <w:szCs w:val="18"/>
                        </w:rPr>
                      </w:pPr>
                      <w:r>
                        <w:rPr>
                          <w:color w:val="000000" w:themeColor="text1"/>
                          <w:sz w:val="18"/>
                          <w:szCs w:val="18"/>
                        </w:rPr>
                        <w:t>Rol Ministerio Agricultura y Desarrollo Rural</w:t>
                      </w:r>
                      <w:r w:rsidRPr="00E73243">
                        <w:rPr>
                          <w:color w:val="000000" w:themeColor="text1"/>
                          <w:sz w:val="18"/>
                          <w:szCs w:val="18"/>
                        </w:rPr>
                        <w:t xml:space="preserve"> </w:t>
                      </w:r>
                    </w:p>
                  </w:txbxContent>
                </v:textbox>
                <w10:wrap anchorx="margin"/>
              </v:rect>
            </w:pict>
          </mc:Fallback>
        </mc:AlternateContent>
      </w:r>
    </w:p>
    <w:p w14:paraId="4455CA08" w14:textId="099C71BA" w:rsidR="008A6AF2" w:rsidRPr="00CB24C7" w:rsidRDefault="008A6AF2" w:rsidP="00CB24C7">
      <w:pPr>
        <w:pStyle w:val="Standard"/>
        <w:spacing w:line="240" w:lineRule="auto"/>
        <w:jc w:val="both"/>
        <w:rPr>
          <w:rFonts w:ascii="Arial" w:hAnsi="Arial" w:cs="Arial"/>
        </w:rPr>
      </w:pPr>
    </w:p>
    <w:p w14:paraId="6922667A" w14:textId="51C39F25" w:rsidR="00E73243" w:rsidRDefault="00DC5A51" w:rsidP="00CB24C7">
      <w:pPr>
        <w:jc w:val="center"/>
        <w:rPr>
          <w:rFonts w:ascii="Arial" w:hAnsi="Arial" w:cs="Arial"/>
          <w:sz w:val="18"/>
          <w:szCs w:val="18"/>
          <w:lang w:val="es-ES_tradnl"/>
        </w:rPr>
      </w:pPr>
      <w:r>
        <w:rPr>
          <w:rFonts w:ascii="Arial" w:hAnsi="Arial" w:cs="Arial"/>
          <w:noProof/>
          <w:lang w:eastAsia="es-CO"/>
        </w:rPr>
        <mc:AlternateContent>
          <mc:Choice Requires="wps">
            <w:drawing>
              <wp:anchor distT="0" distB="0" distL="114300" distR="114300" simplePos="0" relativeHeight="251699200" behindDoc="0" locked="0" layoutInCell="1" allowOverlap="1" wp14:anchorId="4D1E240F" wp14:editId="58BD3F95">
                <wp:simplePos x="0" y="0"/>
                <wp:positionH relativeFrom="margin">
                  <wp:align>left</wp:align>
                </wp:positionH>
                <wp:positionV relativeFrom="paragraph">
                  <wp:posOffset>3810</wp:posOffset>
                </wp:positionV>
                <wp:extent cx="2849880" cy="320040"/>
                <wp:effectExtent l="0" t="0" r="26670" b="22860"/>
                <wp:wrapNone/>
                <wp:docPr id="1152465697" name="Rectángulo 17"/>
                <wp:cNvGraphicFramePr/>
                <a:graphic xmlns:a="http://schemas.openxmlformats.org/drawingml/2006/main">
                  <a:graphicData uri="http://schemas.microsoft.com/office/word/2010/wordprocessingShape">
                    <wps:wsp>
                      <wps:cNvSpPr/>
                      <wps:spPr>
                        <a:xfrm>
                          <a:off x="0" y="0"/>
                          <a:ext cx="2849880" cy="320040"/>
                        </a:xfrm>
                        <a:prstGeom prst="rect">
                          <a:avLst/>
                        </a:prstGeom>
                        <a:solidFill>
                          <a:schemeClr val="accent1">
                            <a:lumMod val="20000"/>
                            <a:lumOff val="8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A2D18AC" w14:textId="77777777" w:rsidR="00CF0D4E" w:rsidRPr="00E73243" w:rsidRDefault="00CF0D4E" w:rsidP="00CF0D4E">
                            <w:pPr>
                              <w:jc w:val="center"/>
                              <w:rPr>
                                <w:rFonts w:asciiTheme="majorHAnsi" w:hAnsiTheme="majorHAnsi" w:cstheme="majorHAnsi"/>
                                <w:b/>
                                <w:bCs/>
                                <w:color w:val="000000" w:themeColor="text1"/>
                                <w:sz w:val="18"/>
                                <w:szCs w:val="18"/>
                              </w:rPr>
                            </w:pPr>
                            <w:r w:rsidRPr="00E73243">
                              <w:rPr>
                                <w:rFonts w:asciiTheme="majorHAnsi" w:hAnsiTheme="majorHAnsi" w:cstheme="majorHAnsi"/>
                                <w:b/>
                                <w:bCs/>
                                <w:color w:val="000000" w:themeColor="text1"/>
                                <w:sz w:val="18"/>
                                <w:szCs w:val="18"/>
                              </w:rPr>
                              <w:t>Giro de recursos y seguimiento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1E240F" id="Rectángulo 17" o:spid="_x0000_s1032" style="position:absolute;left:0;text-align:left;margin-left:0;margin-top:.3pt;width:224.4pt;height:25.2pt;z-index:25169920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" fillcolor="#d9e2f3 [660]" strokecolor="#09101d [484]" strokeweight="1pt">
                <v:textbox>
                  <w:txbxContent>
                    <w:p w14:paraId="7A2D18AC" w14:textId="77777777" w:rsidR="00CF0D4E" w:rsidRPr="00E73243" w:rsidRDefault="00CF0D4E" w:rsidP="00CF0D4E">
                      <w:pPr>
                        <w:jc w:val="center"/>
                        <w:rPr>
                          <w:rFonts w:asciiTheme="majorHAnsi" w:hAnsiTheme="majorHAnsi" w:cstheme="majorHAnsi"/>
                          <w:b/>
                          <w:bCs/>
                          <w:color w:val="000000" w:themeColor="text1"/>
                          <w:sz w:val="18"/>
                          <w:szCs w:val="18"/>
                        </w:rPr>
                      </w:pPr>
                      <w:r w:rsidRPr="00E73243">
                        <w:rPr>
                          <w:rFonts w:asciiTheme="majorHAnsi" w:hAnsiTheme="majorHAnsi" w:cstheme="majorHAnsi"/>
                          <w:b/>
                          <w:bCs/>
                          <w:color w:val="000000" w:themeColor="text1"/>
                          <w:sz w:val="18"/>
                          <w:szCs w:val="18"/>
                        </w:rPr>
                        <w:t>Giro de recursos y seguimiento</w:t>
                      </w:r>
                    </w:p>
                  </w:txbxContent>
                </v:textbox>
                <w10:wrap anchorx="margin"/>
              </v:rect>
            </w:pict>
          </mc:Fallback>
        </mc:AlternateContent>
      </w:r>
      <w:r w:rsidR="00CF0D4E">
        <w:rPr>
          <w:rFonts w:ascii="Arial" w:hAnsi="Arial" w:cs="Arial"/>
          <w:noProof/>
          <w:lang w:eastAsia="es-CO"/>
        </w:rPr>
        <mc:AlternateContent>
          <mc:Choice Requires="wps">
            <w:drawing>
              <wp:anchor distT="0" distB="0" distL="114300" distR="114300" simplePos="0" relativeHeight="251695104" behindDoc="0" locked="0" layoutInCell="1" allowOverlap="1" wp14:anchorId="508DB47B" wp14:editId="1124FDD0">
                <wp:simplePos x="0" y="0"/>
                <wp:positionH relativeFrom="column">
                  <wp:posOffset>3110865</wp:posOffset>
                </wp:positionH>
                <wp:positionV relativeFrom="paragraph">
                  <wp:posOffset>5715</wp:posOffset>
                </wp:positionV>
                <wp:extent cx="2796540" cy="335280"/>
                <wp:effectExtent l="0" t="0" r="22860" b="26670"/>
                <wp:wrapNone/>
                <wp:docPr id="479767407" name="Rectángulo 17"/>
                <wp:cNvGraphicFramePr/>
                <a:graphic xmlns:a="http://schemas.openxmlformats.org/drawingml/2006/main">
                  <a:graphicData uri="http://schemas.microsoft.com/office/word/2010/wordprocessingShape">
                    <wps:wsp>
                      <wps:cNvSpPr/>
                      <wps:spPr>
                        <a:xfrm>
                          <a:off x="0" y="0"/>
                          <a:ext cx="2796540" cy="335280"/>
                        </a:xfrm>
                        <a:prstGeom prst="rect">
                          <a:avLst/>
                        </a:prstGeom>
                        <a:solidFill>
                          <a:schemeClr val="accent1">
                            <a:lumMod val="20000"/>
                            <a:lumOff val="80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292F4FED" w14:textId="278E1708" w:rsidR="00E73243" w:rsidRPr="00E73243" w:rsidRDefault="00E73243" w:rsidP="00E73243">
                            <w:pPr>
                              <w:jc w:val="center"/>
                              <w:rPr>
                                <w:rFonts w:asciiTheme="majorHAnsi" w:hAnsiTheme="majorHAnsi" w:cstheme="majorHAnsi"/>
                                <w:b/>
                                <w:bCs/>
                                <w:color w:val="000000" w:themeColor="text1"/>
                                <w:sz w:val="18"/>
                                <w:szCs w:val="18"/>
                              </w:rPr>
                            </w:pPr>
                            <w:r w:rsidRPr="00E73243">
                              <w:rPr>
                                <w:rFonts w:asciiTheme="majorHAnsi" w:hAnsiTheme="majorHAnsi" w:cstheme="majorHAnsi"/>
                                <w:b/>
                                <w:bCs/>
                                <w:color w:val="000000" w:themeColor="text1"/>
                                <w:sz w:val="18"/>
                                <w:szCs w:val="18"/>
                              </w:rPr>
                              <w:t xml:space="preserve">Otorgamiento, Contratante del operador y seguimiento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B47B" id="_x0000_s1033" style="position:absolute;left:0;text-align:left;margin-left:244.95pt;margin-top:.45pt;width:220.2pt;height:26.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" fillcolor="#d9e2f3 [660]" strokecolor="#09101d [484]" strokeweight="1pt">
                <v:textbox>
                  <w:txbxContent>
                    <w:p w14:paraId="292F4FED" w14:textId="278E1708" w:rsidR="00E73243" w:rsidRPr="00E73243" w:rsidRDefault="00E73243" w:rsidP="00E73243">
                      <w:pPr>
                        <w:jc w:val="center"/>
                        <w:rPr>
                          <w:rFonts w:asciiTheme="majorHAnsi" w:hAnsiTheme="majorHAnsi" w:cstheme="majorHAnsi"/>
                          <w:b/>
                          <w:bCs/>
                          <w:color w:val="000000" w:themeColor="text1"/>
                          <w:sz w:val="18"/>
                          <w:szCs w:val="18"/>
                        </w:rPr>
                      </w:pPr>
                      <w:r w:rsidRPr="00E73243">
                        <w:rPr>
                          <w:rFonts w:asciiTheme="majorHAnsi" w:hAnsiTheme="majorHAnsi" w:cstheme="majorHAnsi"/>
                          <w:b/>
                          <w:bCs/>
                          <w:color w:val="000000" w:themeColor="text1"/>
                          <w:sz w:val="18"/>
                          <w:szCs w:val="18"/>
                        </w:rPr>
                        <w:t xml:space="preserve">Otorgamiento, Contratante del operador y seguimiento </w:t>
                      </w:r>
                    </w:p>
                  </w:txbxContent>
                </v:textbox>
              </v:rect>
            </w:pict>
          </mc:Fallback>
        </mc:AlternateContent>
      </w:r>
    </w:p>
    <w:p w14:paraId="22CC4364" w14:textId="667664E6" w:rsidR="00E73243" w:rsidRDefault="00E73243" w:rsidP="00CB24C7">
      <w:pPr>
        <w:jc w:val="center"/>
        <w:rPr>
          <w:rFonts w:ascii="Arial" w:hAnsi="Arial" w:cs="Arial"/>
          <w:sz w:val="18"/>
          <w:szCs w:val="18"/>
          <w:lang w:val="es-ES_tradnl"/>
        </w:rPr>
      </w:pPr>
    </w:p>
    <w:p w14:paraId="2CBB84DE" w14:textId="77777777" w:rsidR="00E73243" w:rsidRDefault="00E73243" w:rsidP="00CB24C7">
      <w:pPr>
        <w:jc w:val="center"/>
        <w:rPr>
          <w:rFonts w:ascii="Arial" w:hAnsi="Arial" w:cs="Arial"/>
          <w:sz w:val="18"/>
          <w:szCs w:val="18"/>
          <w:lang w:val="es-ES_tradnl"/>
        </w:rPr>
      </w:pPr>
    </w:p>
    <w:p w14:paraId="5D56CA5A" w14:textId="77777777" w:rsidR="00E73243" w:rsidRDefault="00E73243" w:rsidP="00CB24C7">
      <w:pPr>
        <w:jc w:val="center"/>
        <w:rPr>
          <w:rFonts w:ascii="Arial" w:hAnsi="Arial" w:cs="Arial"/>
          <w:sz w:val="18"/>
          <w:szCs w:val="18"/>
          <w:lang w:val="es-ES_tradnl"/>
        </w:rPr>
      </w:pPr>
    </w:p>
    <w:p w14:paraId="7762B197" w14:textId="30E50753" w:rsidR="008A61C8" w:rsidRPr="00CB24C7" w:rsidRDefault="008A61C8" w:rsidP="00CB24C7">
      <w:pPr>
        <w:jc w:val="center"/>
        <w:rPr>
          <w:rFonts w:ascii="Arial" w:hAnsi="Arial" w:cs="Arial"/>
          <w:sz w:val="18"/>
          <w:szCs w:val="18"/>
          <w:lang w:val="es-ES_tradnl"/>
        </w:rPr>
      </w:pPr>
      <w:r w:rsidRPr="00CB24C7">
        <w:rPr>
          <w:rFonts w:ascii="Arial" w:hAnsi="Arial" w:cs="Arial"/>
          <w:sz w:val="18"/>
          <w:szCs w:val="18"/>
          <w:lang w:val="es-ES_tradnl"/>
        </w:rPr>
        <w:t>Fuente: DGBPR-MADR</w:t>
      </w:r>
    </w:p>
    <w:p w14:paraId="1BAB8BCD" w14:textId="1F1EF37E" w:rsidR="00F40C85" w:rsidRPr="00CB24C7" w:rsidRDefault="00F40C85" w:rsidP="00CB24C7">
      <w:pPr>
        <w:pStyle w:val="Standard"/>
        <w:spacing w:line="240" w:lineRule="auto"/>
        <w:jc w:val="center"/>
        <w:rPr>
          <w:rFonts w:ascii="Arial" w:hAnsi="Arial" w:cs="Arial"/>
        </w:rPr>
      </w:pPr>
    </w:p>
    <w:p w14:paraId="69AD584B" w14:textId="51200731" w:rsidR="00E73243" w:rsidRDefault="000B54F7" w:rsidP="00E73243">
      <w:pPr>
        <w:pStyle w:val="Standard"/>
        <w:spacing w:line="240" w:lineRule="auto"/>
        <w:jc w:val="both"/>
        <w:rPr>
          <w:rFonts w:ascii="Arial" w:hAnsi="Arial" w:cs="Arial"/>
          <w:lang w:val="es-ES_tradnl"/>
        </w:rPr>
      </w:pPr>
      <w:r>
        <w:rPr>
          <w:rFonts w:ascii="Arial" w:hAnsi="Arial" w:cs="Arial"/>
          <w:lang w:val="es-ES_tradnl"/>
        </w:rPr>
        <w:lastRenderedPageBreak/>
        <w:t>A partir del 1 de enero de 20</w:t>
      </w:r>
      <w:r w:rsidR="00ED4507">
        <w:rPr>
          <w:rFonts w:ascii="Arial" w:hAnsi="Arial" w:cs="Arial"/>
          <w:lang w:val="es-ES_tradnl"/>
        </w:rPr>
        <w:t>20, e</w:t>
      </w:r>
      <w:r w:rsidR="00F40C85" w:rsidRPr="00CB24C7">
        <w:rPr>
          <w:rFonts w:ascii="Arial" w:hAnsi="Arial" w:cs="Arial"/>
          <w:lang w:val="es-ES_tradnl"/>
        </w:rPr>
        <w:t xml:space="preserve">n el marco del artículo 255 de la Ley 1955 de 2019 (Plan Nacional de </w:t>
      </w:r>
      <w:r w:rsidR="0041238A" w:rsidRPr="00CB24C7">
        <w:rPr>
          <w:rFonts w:ascii="Arial" w:hAnsi="Arial" w:cs="Arial"/>
          <w:lang w:val="es-ES_tradnl"/>
        </w:rPr>
        <w:t xml:space="preserve">Desarrollo: </w:t>
      </w:r>
      <w:r w:rsidR="00F40C85" w:rsidRPr="00CB24C7">
        <w:rPr>
          <w:rFonts w:ascii="Arial" w:hAnsi="Arial" w:cs="Arial"/>
          <w:lang w:val="es-ES_tradnl"/>
        </w:rPr>
        <w:t xml:space="preserve">Pacto por Colombia, Pacto por la Equidad), el cual señala que “El Gobierno </w:t>
      </w:r>
      <w:r w:rsidR="00187A11" w:rsidRPr="00CB24C7">
        <w:rPr>
          <w:rFonts w:ascii="Arial" w:hAnsi="Arial" w:cs="Arial"/>
          <w:lang w:val="es-ES_tradnl"/>
        </w:rPr>
        <w:t>N</w:t>
      </w:r>
      <w:r w:rsidR="00F40C85" w:rsidRPr="00CB24C7">
        <w:rPr>
          <w:rFonts w:ascii="Arial" w:hAnsi="Arial" w:cs="Arial"/>
          <w:lang w:val="es-ES_tradnl"/>
        </w:rPr>
        <w:t>acional diseñar</w:t>
      </w:r>
      <w:r w:rsidR="00E73243">
        <w:rPr>
          <w:rFonts w:ascii="Arial" w:hAnsi="Arial" w:cs="Arial"/>
          <w:lang w:val="es-ES_tradnl"/>
        </w:rPr>
        <w:t>á</w:t>
      </w:r>
      <w:r w:rsidR="00F40C85" w:rsidRPr="00CB24C7">
        <w:rPr>
          <w:rFonts w:ascii="Arial" w:hAnsi="Arial" w:cs="Arial"/>
          <w:lang w:val="es-ES_tradnl"/>
        </w:rPr>
        <w:t xml:space="preserve"> un plan para la efectiva implementación de una política de vivienda rural</w:t>
      </w:r>
      <w:r w:rsidR="00E73243">
        <w:rPr>
          <w:rFonts w:ascii="Arial" w:hAnsi="Arial" w:cs="Arial"/>
          <w:lang w:val="es-ES_tradnl"/>
        </w:rPr>
        <w:t xml:space="preserve">”, la </w:t>
      </w:r>
      <w:r w:rsidR="00F40C85" w:rsidRPr="00CB24C7">
        <w:rPr>
          <w:rFonts w:ascii="Arial" w:hAnsi="Arial" w:cs="Arial"/>
          <w:lang w:val="es-ES_tradnl"/>
        </w:rPr>
        <w:t>formulación y ejecución estar</w:t>
      </w:r>
      <w:r w:rsidR="00E73243">
        <w:rPr>
          <w:rFonts w:ascii="Arial" w:hAnsi="Arial" w:cs="Arial"/>
          <w:lang w:val="es-ES_tradnl"/>
        </w:rPr>
        <w:t>ía</w:t>
      </w:r>
      <w:r w:rsidR="00F40C85" w:rsidRPr="00CB24C7">
        <w:rPr>
          <w:rFonts w:ascii="Arial" w:hAnsi="Arial" w:cs="Arial"/>
          <w:lang w:val="es-ES_tradnl"/>
        </w:rPr>
        <w:t xml:space="preserve"> </w:t>
      </w:r>
      <w:r w:rsidR="00AF6375">
        <w:rPr>
          <w:rFonts w:ascii="Arial" w:hAnsi="Arial" w:cs="Arial"/>
          <w:lang w:val="es-ES_tradnl"/>
        </w:rPr>
        <w:t xml:space="preserve">de la política de vivienda se encuentra </w:t>
      </w:r>
      <w:r w:rsidR="00F40C85" w:rsidRPr="00CB24C7">
        <w:rPr>
          <w:rFonts w:ascii="Arial" w:hAnsi="Arial" w:cs="Arial"/>
          <w:lang w:val="es-ES_tradnl"/>
        </w:rPr>
        <w:t>a cargo del Ministerio de Vivienda, Ciudad y Territorio</w:t>
      </w:r>
      <w:r w:rsidR="00AF6375">
        <w:rPr>
          <w:rFonts w:ascii="Arial" w:hAnsi="Arial" w:cs="Arial"/>
          <w:lang w:val="es-ES_tradnl"/>
        </w:rPr>
        <w:t xml:space="preserve"> en adelante M</w:t>
      </w:r>
      <w:r w:rsidR="00654808">
        <w:rPr>
          <w:rFonts w:ascii="Arial" w:hAnsi="Arial" w:cs="Arial"/>
          <w:lang w:val="es-ES_tradnl"/>
        </w:rPr>
        <w:t>VCT</w:t>
      </w:r>
      <w:r w:rsidR="00F40C85" w:rsidRPr="00CB24C7">
        <w:rPr>
          <w:rFonts w:ascii="Arial" w:hAnsi="Arial" w:cs="Arial"/>
          <w:lang w:val="es-ES_tradnl"/>
        </w:rPr>
        <w:t xml:space="preserve">, por lo que será esa entidad </w:t>
      </w:r>
      <w:r w:rsidR="00654808">
        <w:rPr>
          <w:rFonts w:ascii="Arial" w:hAnsi="Arial" w:cs="Arial"/>
          <w:lang w:val="es-ES_tradnl"/>
        </w:rPr>
        <w:t xml:space="preserve">la </w:t>
      </w:r>
      <w:r w:rsidR="00F40C85" w:rsidRPr="00CB24C7">
        <w:rPr>
          <w:rFonts w:ascii="Arial" w:hAnsi="Arial" w:cs="Arial"/>
          <w:lang w:val="es-ES_tradnl"/>
        </w:rPr>
        <w:t xml:space="preserve">encargada de coordinar y liderar la ejecución de los proyectos de vivienda y mejoramientos de vivienda encaminados a la disminución del déficit habitacional rural”. </w:t>
      </w:r>
      <w:r w:rsidR="00E73243">
        <w:rPr>
          <w:rFonts w:ascii="Arial" w:hAnsi="Arial" w:cs="Arial"/>
          <w:lang w:val="es-ES_tradnl"/>
        </w:rPr>
        <w:t xml:space="preserve">Por lo anterior el Ministerio de Agricultura y Desarrollo Rural desde el 1 de </w:t>
      </w:r>
      <w:r w:rsidR="00F40C85" w:rsidRPr="00CB24C7">
        <w:rPr>
          <w:rFonts w:ascii="Arial" w:hAnsi="Arial" w:cs="Arial"/>
          <w:lang w:val="es-ES_tradnl"/>
        </w:rPr>
        <w:t xml:space="preserve">enero de 2020 </w:t>
      </w:r>
      <w:r w:rsidR="00E73243">
        <w:rPr>
          <w:rFonts w:ascii="Arial" w:hAnsi="Arial" w:cs="Arial"/>
          <w:lang w:val="es-ES_tradnl"/>
        </w:rPr>
        <w:t xml:space="preserve">dejó de ejercer el rol de otorgante y a través de </w:t>
      </w:r>
      <w:r w:rsidR="00E73243">
        <w:rPr>
          <w:rFonts w:ascii="Arial" w:hAnsi="Arial" w:cs="Arial"/>
          <w:kern w:val="0"/>
          <w:lang w:val="es-ES_tradnl" w:eastAsia="es-ES_tradnl"/>
        </w:rPr>
        <w:t>l</w:t>
      </w:r>
      <w:r w:rsidR="0078548F" w:rsidRPr="00CB24C7">
        <w:rPr>
          <w:rFonts w:ascii="Arial" w:hAnsi="Arial" w:cs="Arial"/>
          <w:lang w:val="es-ES_tradnl"/>
        </w:rPr>
        <w:t xml:space="preserve">a </w:t>
      </w:r>
      <w:r w:rsidR="0070764E" w:rsidRPr="00CB24C7">
        <w:rPr>
          <w:rFonts w:ascii="Arial" w:hAnsi="Arial" w:cs="Arial"/>
          <w:lang w:val="es-ES_tradnl"/>
        </w:rPr>
        <w:t>Dirección de Gestión de Bienes Públicos Rurales adopt</w:t>
      </w:r>
      <w:r w:rsidR="00E73243">
        <w:rPr>
          <w:rFonts w:ascii="Arial" w:hAnsi="Arial" w:cs="Arial"/>
          <w:lang w:val="es-ES_tradnl"/>
        </w:rPr>
        <w:t xml:space="preserve">ó </w:t>
      </w:r>
      <w:r w:rsidR="0070764E" w:rsidRPr="00CB24C7">
        <w:rPr>
          <w:rFonts w:ascii="Arial" w:hAnsi="Arial" w:cs="Arial"/>
          <w:lang w:val="es-ES_tradnl"/>
        </w:rPr>
        <w:t>un esquema de seguimiento</w:t>
      </w:r>
      <w:r w:rsidR="00E73243">
        <w:rPr>
          <w:rFonts w:ascii="Arial" w:hAnsi="Arial" w:cs="Arial"/>
          <w:lang w:val="es-ES_tradnl"/>
        </w:rPr>
        <w:t xml:space="preserve"> para el cierre del programa de vivienda</w:t>
      </w:r>
      <w:r w:rsidR="00A71EFA">
        <w:rPr>
          <w:rFonts w:ascii="Arial" w:hAnsi="Arial" w:cs="Arial"/>
          <w:lang w:val="es-ES_tradnl"/>
        </w:rPr>
        <w:t xml:space="preserve"> con una estimación de aproximadamente 46.000 Subsidios pendientes de materialización cuya materializació</w:t>
      </w:r>
      <w:r w:rsidR="006D4678">
        <w:rPr>
          <w:rFonts w:ascii="Arial" w:hAnsi="Arial" w:cs="Arial"/>
          <w:lang w:val="es-ES_tradnl"/>
        </w:rPr>
        <w:t xml:space="preserve">n se proyectó </w:t>
      </w:r>
      <w:r w:rsidR="003661DE">
        <w:rPr>
          <w:rFonts w:ascii="Arial" w:hAnsi="Arial" w:cs="Arial"/>
          <w:lang w:val="es-ES_tradnl"/>
        </w:rPr>
        <w:t xml:space="preserve">con un horizonte </w:t>
      </w:r>
      <w:r w:rsidR="006D4678">
        <w:rPr>
          <w:rFonts w:ascii="Arial" w:hAnsi="Arial" w:cs="Arial"/>
          <w:lang w:val="es-ES_tradnl"/>
        </w:rPr>
        <w:t>hasta el año 2032</w:t>
      </w:r>
      <w:r w:rsidR="00E73243">
        <w:rPr>
          <w:rFonts w:ascii="Arial" w:hAnsi="Arial" w:cs="Arial"/>
          <w:lang w:val="es-ES_tradnl"/>
        </w:rPr>
        <w:t xml:space="preserve">. </w:t>
      </w:r>
    </w:p>
    <w:p w14:paraId="23B0D51F" w14:textId="77777777" w:rsidR="00E73243" w:rsidRDefault="00E73243" w:rsidP="00E73243">
      <w:pPr>
        <w:pStyle w:val="Standard"/>
        <w:spacing w:line="240" w:lineRule="auto"/>
        <w:jc w:val="both"/>
        <w:rPr>
          <w:rFonts w:ascii="Arial" w:hAnsi="Arial" w:cs="Arial"/>
          <w:lang w:val="es-ES_tradnl"/>
        </w:rPr>
      </w:pPr>
    </w:p>
    <w:p w14:paraId="772B45AB" w14:textId="2AFC164D" w:rsidR="00E73243" w:rsidRDefault="00E73243" w:rsidP="00E73243">
      <w:pPr>
        <w:pStyle w:val="Standard"/>
        <w:spacing w:line="240" w:lineRule="auto"/>
        <w:jc w:val="both"/>
        <w:rPr>
          <w:rFonts w:ascii="Arial" w:hAnsi="Arial" w:cs="Arial"/>
          <w:lang w:val="es-ES_tradnl"/>
        </w:rPr>
      </w:pPr>
      <w:r>
        <w:rPr>
          <w:rFonts w:ascii="Arial" w:hAnsi="Arial" w:cs="Arial"/>
          <w:lang w:val="es-ES_tradnl"/>
        </w:rPr>
        <w:t xml:space="preserve">En </w:t>
      </w:r>
      <w:r w:rsidR="003B649A">
        <w:rPr>
          <w:rFonts w:ascii="Arial" w:hAnsi="Arial" w:cs="Arial"/>
          <w:lang w:val="es-ES_tradnl"/>
        </w:rPr>
        <w:t>armonía con la disposición anterior</w:t>
      </w:r>
      <w:r>
        <w:rPr>
          <w:rFonts w:ascii="Arial" w:hAnsi="Arial" w:cs="Arial"/>
          <w:lang w:val="es-ES_tradnl"/>
        </w:rPr>
        <w:t>, el Plan Nacional de Desarrollo 202</w:t>
      </w:r>
      <w:r w:rsidR="000F01A1">
        <w:rPr>
          <w:rFonts w:ascii="Arial" w:hAnsi="Arial" w:cs="Arial"/>
          <w:lang w:val="es-ES_tradnl"/>
        </w:rPr>
        <w:t>2</w:t>
      </w:r>
      <w:r>
        <w:rPr>
          <w:rFonts w:ascii="Arial" w:hAnsi="Arial" w:cs="Arial"/>
          <w:lang w:val="es-ES_tradnl"/>
        </w:rPr>
        <w:t xml:space="preserve">-2026 adoptado mediante la </w:t>
      </w:r>
      <w:r w:rsidR="0053659A">
        <w:rPr>
          <w:rFonts w:ascii="Arial" w:hAnsi="Arial" w:cs="Arial"/>
          <w:lang w:val="es-ES_tradnl"/>
        </w:rPr>
        <w:t>L</w:t>
      </w:r>
      <w:r>
        <w:rPr>
          <w:rFonts w:ascii="Arial" w:hAnsi="Arial" w:cs="Arial"/>
          <w:lang w:val="es-ES_tradnl"/>
        </w:rPr>
        <w:t xml:space="preserve">ey </w:t>
      </w:r>
      <w:r w:rsidR="00914A95">
        <w:rPr>
          <w:rFonts w:ascii="Arial" w:hAnsi="Arial" w:cs="Arial"/>
          <w:lang w:val="es-ES_tradnl"/>
        </w:rPr>
        <w:t>2294</w:t>
      </w:r>
      <w:r>
        <w:rPr>
          <w:rFonts w:ascii="Arial" w:hAnsi="Arial" w:cs="Arial"/>
          <w:lang w:val="es-ES_tradnl"/>
        </w:rPr>
        <w:t xml:space="preserve"> de 2023, </w:t>
      </w:r>
      <w:r w:rsidR="0052372E">
        <w:rPr>
          <w:rFonts w:ascii="Arial" w:hAnsi="Arial" w:cs="Arial"/>
          <w:lang w:val="es-ES_tradnl"/>
        </w:rPr>
        <w:t xml:space="preserve">mantuvo el cierre del programa de vivienda a cargo del Ministerio de Agricultura y Desarrollo Rural </w:t>
      </w:r>
      <w:r w:rsidR="00A71EFA">
        <w:rPr>
          <w:rFonts w:ascii="Arial" w:hAnsi="Arial" w:cs="Arial"/>
          <w:lang w:val="es-ES_tradnl"/>
        </w:rPr>
        <w:t xml:space="preserve">y del Banco Agrario de Colombia S.A. </w:t>
      </w:r>
      <w:r w:rsidR="001359A8">
        <w:rPr>
          <w:rFonts w:ascii="Arial" w:hAnsi="Arial" w:cs="Arial"/>
          <w:lang w:val="es-ES_tradnl"/>
        </w:rPr>
        <w:t xml:space="preserve">y estableció </w:t>
      </w:r>
      <w:r w:rsidR="00665754">
        <w:rPr>
          <w:rFonts w:ascii="Arial" w:hAnsi="Arial" w:cs="Arial"/>
          <w:lang w:val="es-ES_tradnl"/>
        </w:rPr>
        <w:t>como deber</w:t>
      </w:r>
      <w:r w:rsidR="00A71EFA">
        <w:rPr>
          <w:rFonts w:ascii="Arial" w:hAnsi="Arial" w:cs="Arial"/>
          <w:lang w:val="es-ES_tradnl"/>
        </w:rPr>
        <w:t>,</w:t>
      </w:r>
      <w:r w:rsidR="00665754">
        <w:rPr>
          <w:rFonts w:ascii="Arial" w:hAnsi="Arial" w:cs="Arial"/>
          <w:lang w:val="es-ES_tradnl"/>
        </w:rPr>
        <w:t xml:space="preserve"> </w:t>
      </w:r>
      <w:r w:rsidR="00C411BE">
        <w:rPr>
          <w:rFonts w:ascii="Arial" w:hAnsi="Arial" w:cs="Arial"/>
          <w:lang w:val="es-ES_tradnl"/>
        </w:rPr>
        <w:t xml:space="preserve">la realización de auditorías </w:t>
      </w:r>
      <w:r w:rsidR="007A06E3">
        <w:rPr>
          <w:rFonts w:ascii="Arial" w:hAnsi="Arial" w:cs="Arial"/>
          <w:lang w:val="es-ES_tradnl"/>
        </w:rPr>
        <w:t xml:space="preserve">que permitieran </w:t>
      </w:r>
      <w:r w:rsidR="008E4F3D" w:rsidRPr="008E4F3D">
        <w:rPr>
          <w:rFonts w:ascii="Arial" w:hAnsi="Arial" w:cs="Arial"/>
          <w:lang w:val="es-CO"/>
        </w:rPr>
        <w:t>verificar el estado actual del programa de subsidio familiar de vivienda de interés social y prioritario rural</w:t>
      </w:r>
      <w:r w:rsidR="00F4128E">
        <w:rPr>
          <w:rStyle w:val="Refdenotaalpie"/>
          <w:rFonts w:ascii="Arial" w:hAnsi="Arial" w:cs="Arial"/>
          <w:lang w:val="es-CO"/>
        </w:rPr>
        <w:footnoteReference w:id="1"/>
      </w:r>
      <w:r w:rsidR="000F01A1">
        <w:rPr>
          <w:rFonts w:ascii="Arial" w:hAnsi="Arial" w:cs="Arial"/>
          <w:lang w:val="es-CO"/>
        </w:rPr>
        <w:t xml:space="preserve">. </w:t>
      </w:r>
      <w:r w:rsidR="007A06E3">
        <w:rPr>
          <w:rFonts w:ascii="Arial" w:hAnsi="Arial" w:cs="Arial"/>
          <w:lang w:val="es-CO"/>
        </w:rPr>
        <w:t xml:space="preserve"> </w:t>
      </w:r>
    </w:p>
    <w:p w14:paraId="32278AC3" w14:textId="4159419A" w:rsidR="00E73243" w:rsidRDefault="00E73243" w:rsidP="00E73243">
      <w:pPr>
        <w:pStyle w:val="Standard"/>
        <w:spacing w:line="240" w:lineRule="auto"/>
        <w:jc w:val="both"/>
        <w:rPr>
          <w:rFonts w:ascii="Arial" w:hAnsi="Arial" w:cs="Arial"/>
          <w:lang w:val="es-ES_tradnl"/>
        </w:rPr>
      </w:pPr>
    </w:p>
    <w:p w14:paraId="648282B4" w14:textId="70D1EBE3" w:rsidR="00D22487" w:rsidRDefault="00D22487" w:rsidP="00E73243">
      <w:pPr>
        <w:pStyle w:val="Standard"/>
        <w:spacing w:line="240" w:lineRule="auto"/>
        <w:jc w:val="both"/>
        <w:rPr>
          <w:rFonts w:ascii="Arial" w:hAnsi="Arial" w:cs="Arial"/>
          <w:lang w:val="es-ES_tradnl"/>
        </w:rPr>
      </w:pPr>
      <w:r>
        <w:rPr>
          <w:rFonts w:ascii="Arial" w:hAnsi="Arial" w:cs="Arial"/>
          <w:lang w:val="es-ES_tradnl"/>
        </w:rPr>
        <w:t>Sin perjuicio de la gestión relacionada con las</w:t>
      </w:r>
      <w:r w:rsidR="007A06E3">
        <w:rPr>
          <w:rFonts w:ascii="Arial" w:hAnsi="Arial" w:cs="Arial"/>
          <w:lang w:val="es-ES_tradnl"/>
        </w:rPr>
        <w:t xml:space="preserve"> auditorías ordenadas, la Dirección de Gestión de Bienes Públicos Rurales </w:t>
      </w:r>
      <w:r>
        <w:rPr>
          <w:rFonts w:ascii="Arial" w:hAnsi="Arial" w:cs="Arial"/>
          <w:lang w:val="es-ES_tradnl"/>
        </w:rPr>
        <w:t xml:space="preserve">del </w:t>
      </w:r>
      <w:r w:rsidR="00221F0B">
        <w:rPr>
          <w:rFonts w:ascii="Arial" w:hAnsi="Arial" w:cs="Arial"/>
          <w:lang w:val="es-ES_tradnl"/>
        </w:rPr>
        <w:t xml:space="preserve">MADR </w:t>
      </w:r>
      <w:r w:rsidR="007A06E3">
        <w:rPr>
          <w:rFonts w:ascii="Arial" w:hAnsi="Arial" w:cs="Arial"/>
          <w:lang w:val="es-ES_tradnl"/>
        </w:rPr>
        <w:t>aplica</w:t>
      </w:r>
      <w:r w:rsidR="0070764E" w:rsidRPr="00CB24C7">
        <w:rPr>
          <w:rFonts w:ascii="Arial" w:hAnsi="Arial" w:cs="Arial"/>
          <w:lang w:val="es-ES_tradnl"/>
        </w:rPr>
        <w:t xml:space="preserve"> herramientas de análisis de la ejecución del </w:t>
      </w:r>
      <w:r w:rsidR="008A61C8" w:rsidRPr="00CB24C7">
        <w:rPr>
          <w:rFonts w:ascii="Arial" w:hAnsi="Arial" w:cs="Arial"/>
          <w:lang w:val="es-ES_tradnl"/>
        </w:rPr>
        <w:t>p</w:t>
      </w:r>
      <w:r w:rsidR="0070764E" w:rsidRPr="00CB24C7">
        <w:rPr>
          <w:rFonts w:ascii="Arial" w:hAnsi="Arial" w:cs="Arial"/>
          <w:lang w:val="es-ES_tradnl"/>
        </w:rPr>
        <w:t xml:space="preserve">rograma, </w:t>
      </w:r>
      <w:r w:rsidR="009F5ECF" w:rsidRPr="00CB24C7">
        <w:rPr>
          <w:rFonts w:ascii="Arial" w:hAnsi="Arial" w:cs="Arial"/>
          <w:lang w:val="es-ES_tradnl"/>
        </w:rPr>
        <w:t>que</w:t>
      </w:r>
      <w:r w:rsidR="0070764E" w:rsidRPr="00CB24C7">
        <w:rPr>
          <w:rFonts w:ascii="Arial" w:hAnsi="Arial" w:cs="Arial"/>
          <w:lang w:val="es-ES_tradnl"/>
        </w:rPr>
        <w:t xml:space="preserve"> permiten </w:t>
      </w:r>
      <w:r w:rsidR="00160E33">
        <w:rPr>
          <w:rFonts w:ascii="Arial" w:hAnsi="Arial" w:cs="Arial"/>
          <w:lang w:val="es-ES_tradnl"/>
        </w:rPr>
        <w:t xml:space="preserve">identificar las situaciones </w:t>
      </w:r>
      <w:r>
        <w:rPr>
          <w:rFonts w:ascii="Arial" w:hAnsi="Arial" w:cs="Arial"/>
          <w:lang w:val="es-ES_tradnl"/>
        </w:rPr>
        <w:t xml:space="preserve">de impacto, </w:t>
      </w:r>
      <w:r w:rsidR="0070764E" w:rsidRPr="00CB24C7">
        <w:rPr>
          <w:rFonts w:ascii="Arial" w:hAnsi="Arial" w:cs="Arial"/>
          <w:lang w:val="es-ES_tradnl"/>
        </w:rPr>
        <w:t>conocer los avances y resultados en la entrega y materialización de subsidios de vivienda nueva y mejoramiento, así como desplegar acciones de mejora y facilitar la toma de decisiones mediante la recopilación y análisis de la información</w:t>
      </w:r>
      <w:r w:rsidR="00221F0B">
        <w:rPr>
          <w:rFonts w:ascii="Arial" w:hAnsi="Arial" w:cs="Arial"/>
          <w:lang w:val="es-ES_tradnl"/>
        </w:rPr>
        <w:t xml:space="preserve"> disponible en las diferentes gestiones</w:t>
      </w:r>
      <w:r w:rsidR="0070764E" w:rsidRPr="00CB24C7">
        <w:rPr>
          <w:rFonts w:ascii="Arial" w:hAnsi="Arial" w:cs="Arial"/>
          <w:lang w:val="es-ES_tradnl"/>
        </w:rPr>
        <w:t>.</w:t>
      </w:r>
      <w:r w:rsidR="00DF3ADA" w:rsidRPr="00CB24C7">
        <w:rPr>
          <w:rFonts w:ascii="Arial" w:hAnsi="Arial" w:cs="Arial"/>
          <w:lang w:val="es-ES_tradnl"/>
        </w:rPr>
        <w:t xml:space="preserve"> </w:t>
      </w:r>
    </w:p>
    <w:p w14:paraId="43D2F636" w14:textId="77777777" w:rsidR="00F97240" w:rsidRPr="00CB24C7" w:rsidRDefault="00F97240" w:rsidP="00CB24C7">
      <w:pPr>
        <w:jc w:val="both"/>
        <w:rPr>
          <w:rFonts w:ascii="Arial" w:hAnsi="Arial" w:cs="Arial"/>
          <w:sz w:val="22"/>
          <w:szCs w:val="22"/>
          <w:lang w:val="es-ES_tradnl"/>
        </w:rPr>
      </w:pPr>
    </w:p>
    <w:p w14:paraId="4572CA0B" w14:textId="2D35439D" w:rsidR="00FD4C3A" w:rsidRPr="00CB24C7" w:rsidRDefault="00374B89" w:rsidP="00CB24C7">
      <w:pPr>
        <w:jc w:val="both"/>
        <w:rPr>
          <w:rFonts w:ascii="Arial" w:hAnsi="Arial" w:cs="Arial"/>
          <w:sz w:val="22"/>
          <w:szCs w:val="22"/>
          <w:lang w:val="es-ES_tradnl"/>
        </w:rPr>
      </w:pPr>
      <w:r w:rsidRPr="00CB24C7">
        <w:rPr>
          <w:rFonts w:ascii="Arial" w:hAnsi="Arial" w:cs="Arial"/>
          <w:sz w:val="22"/>
          <w:szCs w:val="22"/>
          <w:lang w:val="es-ES_tradnl"/>
        </w:rPr>
        <w:t>En este marco, la Dirección</w:t>
      </w:r>
      <w:r w:rsidR="006A049D">
        <w:rPr>
          <w:rFonts w:ascii="Arial" w:hAnsi="Arial" w:cs="Arial"/>
          <w:sz w:val="22"/>
          <w:szCs w:val="22"/>
          <w:lang w:val="es-ES_tradnl"/>
        </w:rPr>
        <w:t xml:space="preserve"> de Gestión de Bienes Públicos Rurales</w:t>
      </w:r>
      <w:r w:rsidRPr="00CB24C7">
        <w:rPr>
          <w:rFonts w:ascii="Arial" w:hAnsi="Arial" w:cs="Arial"/>
          <w:sz w:val="22"/>
          <w:szCs w:val="22"/>
          <w:lang w:val="es-ES_tradnl"/>
        </w:rPr>
        <w:t xml:space="preserve"> elabor</w:t>
      </w:r>
      <w:r w:rsidR="00F70511">
        <w:rPr>
          <w:rFonts w:ascii="Arial" w:hAnsi="Arial" w:cs="Arial"/>
          <w:sz w:val="22"/>
          <w:szCs w:val="22"/>
          <w:lang w:val="es-ES_tradnl"/>
        </w:rPr>
        <w:t>a</w:t>
      </w:r>
      <w:r w:rsidR="00FD2D96" w:rsidRPr="00CB24C7">
        <w:rPr>
          <w:rFonts w:ascii="Arial" w:hAnsi="Arial" w:cs="Arial"/>
          <w:sz w:val="22"/>
          <w:szCs w:val="22"/>
          <w:lang w:val="es-ES_tradnl"/>
        </w:rPr>
        <w:t xml:space="preserve"> e</w:t>
      </w:r>
      <w:r w:rsidR="00D22487">
        <w:rPr>
          <w:rFonts w:ascii="Arial" w:hAnsi="Arial" w:cs="Arial"/>
          <w:sz w:val="22"/>
          <w:szCs w:val="22"/>
          <w:lang w:val="es-ES_tradnl"/>
        </w:rPr>
        <w:t>ste</w:t>
      </w:r>
      <w:r w:rsidRPr="00CB24C7">
        <w:rPr>
          <w:rFonts w:ascii="Arial" w:hAnsi="Arial" w:cs="Arial"/>
          <w:sz w:val="22"/>
          <w:szCs w:val="22"/>
          <w:lang w:val="es-ES_tradnl"/>
        </w:rPr>
        <w:t xml:space="preserve"> informe trimestral</w:t>
      </w:r>
      <w:r w:rsidR="00D22487">
        <w:rPr>
          <w:rFonts w:ascii="Arial" w:hAnsi="Arial" w:cs="Arial"/>
          <w:sz w:val="22"/>
          <w:szCs w:val="22"/>
          <w:lang w:val="es-ES_tradnl"/>
        </w:rPr>
        <w:t>, para documentar en debida forma el avance anual</w:t>
      </w:r>
      <w:r w:rsidR="006A049D">
        <w:rPr>
          <w:rFonts w:ascii="Arial" w:hAnsi="Arial" w:cs="Arial"/>
          <w:sz w:val="22"/>
          <w:szCs w:val="22"/>
          <w:lang w:val="es-ES_tradnl"/>
        </w:rPr>
        <w:t xml:space="preserve"> y considerar puntos de partida para nuevas acciones</w:t>
      </w:r>
      <w:r w:rsidR="005D51A9">
        <w:rPr>
          <w:rFonts w:ascii="Arial" w:hAnsi="Arial" w:cs="Arial"/>
          <w:sz w:val="22"/>
          <w:szCs w:val="22"/>
          <w:lang w:val="es-ES_tradnl"/>
        </w:rPr>
        <w:t xml:space="preserve"> tendientes a superar el rezago del programa</w:t>
      </w:r>
      <w:r w:rsidR="00D22487">
        <w:rPr>
          <w:rFonts w:ascii="Arial" w:hAnsi="Arial" w:cs="Arial"/>
          <w:sz w:val="22"/>
          <w:szCs w:val="22"/>
          <w:lang w:val="es-ES_tradnl"/>
        </w:rPr>
        <w:t xml:space="preserve">, </w:t>
      </w:r>
      <w:r w:rsidR="00F70511">
        <w:rPr>
          <w:rFonts w:ascii="Arial" w:hAnsi="Arial" w:cs="Arial"/>
          <w:sz w:val="22"/>
          <w:szCs w:val="22"/>
          <w:lang w:val="es-ES_tradnl"/>
        </w:rPr>
        <w:t xml:space="preserve">es preciso aclarar que los datos se procesan </w:t>
      </w:r>
      <w:r w:rsidR="005D51A9">
        <w:rPr>
          <w:rFonts w:ascii="Arial" w:hAnsi="Arial" w:cs="Arial"/>
          <w:sz w:val="22"/>
          <w:szCs w:val="22"/>
          <w:lang w:val="es-ES_tradnl"/>
        </w:rPr>
        <w:t xml:space="preserve">el siguiente trimestre </w:t>
      </w:r>
      <w:r w:rsidR="004C6A16">
        <w:rPr>
          <w:rFonts w:ascii="Arial" w:hAnsi="Arial" w:cs="Arial"/>
          <w:sz w:val="22"/>
          <w:szCs w:val="22"/>
          <w:lang w:val="es-ES_tradnl"/>
        </w:rPr>
        <w:t>del reportado a fin de lograr la consolidación de información</w:t>
      </w:r>
      <w:r w:rsidR="00186FD2">
        <w:rPr>
          <w:rFonts w:ascii="Arial" w:hAnsi="Arial" w:cs="Arial"/>
          <w:sz w:val="22"/>
          <w:szCs w:val="22"/>
          <w:lang w:val="es-ES_tradnl"/>
        </w:rPr>
        <w:t xml:space="preserve">. Este informe </w:t>
      </w:r>
      <w:r w:rsidRPr="00CB24C7">
        <w:rPr>
          <w:rFonts w:ascii="Arial" w:hAnsi="Arial" w:cs="Arial"/>
          <w:sz w:val="22"/>
          <w:szCs w:val="22"/>
          <w:lang w:val="es-ES_tradnl"/>
        </w:rPr>
        <w:t>incluye un análisis con relación al avance de las metas del Plan Nacional de Desarrollo, el seguimiento frente a las metas anuales y recomendaciones frente a las mismas.</w:t>
      </w:r>
    </w:p>
    <w:p w14:paraId="11F82724" w14:textId="77777777" w:rsidR="00FD4C3A" w:rsidRPr="00CB24C7" w:rsidRDefault="00FD4C3A" w:rsidP="00CB24C7">
      <w:pPr>
        <w:jc w:val="both"/>
        <w:rPr>
          <w:rFonts w:ascii="Arial" w:hAnsi="Arial" w:cs="Arial"/>
          <w:sz w:val="22"/>
          <w:szCs w:val="22"/>
          <w:lang w:val="es-ES_tradnl"/>
        </w:rPr>
      </w:pPr>
    </w:p>
    <w:p w14:paraId="303636C6" w14:textId="33DB37A9" w:rsidR="00374B89" w:rsidRDefault="00374B89" w:rsidP="00CB24C7">
      <w:pPr>
        <w:jc w:val="both"/>
        <w:rPr>
          <w:rFonts w:ascii="Arial" w:hAnsi="Arial" w:cs="Arial"/>
          <w:sz w:val="22"/>
          <w:szCs w:val="22"/>
          <w:lang w:val="es-ES_tradnl"/>
        </w:rPr>
      </w:pPr>
      <w:r w:rsidRPr="00CB24C7">
        <w:rPr>
          <w:rFonts w:ascii="Arial" w:hAnsi="Arial" w:cs="Arial"/>
          <w:sz w:val="22"/>
          <w:szCs w:val="22"/>
          <w:lang w:val="es-ES_tradnl"/>
        </w:rPr>
        <w:t xml:space="preserve">Este </w:t>
      </w:r>
      <w:r w:rsidR="006851F7" w:rsidRPr="00CB24C7">
        <w:rPr>
          <w:rFonts w:ascii="Arial" w:hAnsi="Arial" w:cs="Arial"/>
          <w:sz w:val="22"/>
          <w:szCs w:val="22"/>
          <w:lang w:val="es-ES_tradnl"/>
        </w:rPr>
        <w:t>informe</w:t>
      </w:r>
      <w:r w:rsidRPr="00CB24C7">
        <w:rPr>
          <w:rFonts w:ascii="Arial" w:hAnsi="Arial" w:cs="Arial"/>
          <w:sz w:val="22"/>
          <w:szCs w:val="22"/>
          <w:lang w:val="es-ES_tradnl"/>
        </w:rPr>
        <w:t xml:space="preserve"> se elabora </w:t>
      </w:r>
      <w:r w:rsidR="00D97F48">
        <w:rPr>
          <w:rFonts w:ascii="Arial" w:hAnsi="Arial" w:cs="Arial"/>
          <w:sz w:val="22"/>
          <w:szCs w:val="22"/>
          <w:lang w:val="es-ES_tradnl"/>
        </w:rPr>
        <w:t>para</w:t>
      </w:r>
      <w:r w:rsidRPr="00CB24C7">
        <w:rPr>
          <w:rFonts w:ascii="Arial" w:hAnsi="Arial" w:cs="Arial"/>
          <w:sz w:val="22"/>
          <w:szCs w:val="22"/>
          <w:lang w:val="es-ES_tradnl"/>
        </w:rPr>
        <w:t xml:space="preserve"> que los diferentes actores </w:t>
      </w:r>
      <w:r w:rsidR="006851F7" w:rsidRPr="00CB24C7">
        <w:rPr>
          <w:rFonts w:ascii="Arial" w:hAnsi="Arial" w:cs="Arial"/>
          <w:sz w:val="22"/>
          <w:szCs w:val="22"/>
          <w:lang w:val="es-ES_tradnl"/>
        </w:rPr>
        <w:t xml:space="preserve">relacionados con </w:t>
      </w:r>
      <w:r w:rsidRPr="00CB24C7">
        <w:rPr>
          <w:rFonts w:ascii="Arial" w:hAnsi="Arial" w:cs="Arial"/>
          <w:sz w:val="22"/>
          <w:szCs w:val="22"/>
          <w:lang w:val="es-ES_tradnl"/>
        </w:rPr>
        <w:t xml:space="preserve">el </w:t>
      </w:r>
      <w:r w:rsidR="009E780A" w:rsidRPr="00CB24C7">
        <w:rPr>
          <w:rFonts w:ascii="Arial" w:hAnsi="Arial" w:cs="Arial"/>
          <w:sz w:val="22"/>
          <w:szCs w:val="22"/>
          <w:lang w:val="es-ES_tradnl"/>
        </w:rPr>
        <w:t xml:space="preserve">Programa de Vivienda de Interés Social y Prioritario Rural </w:t>
      </w:r>
      <w:r w:rsidRPr="00CB24C7">
        <w:rPr>
          <w:rFonts w:ascii="Arial" w:hAnsi="Arial" w:cs="Arial"/>
          <w:sz w:val="22"/>
          <w:szCs w:val="22"/>
          <w:lang w:val="es-ES_tradnl"/>
        </w:rPr>
        <w:t xml:space="preserve">(entidades otorgantes, operadoras, </w:t>
      </w:r>
      <w:r w:rsidRPr="00CB24C7">
        <w:rPr>
          <w:rFonts w:ascii="Arial" w:hAnsi="Arial" w:cs="Arial"/>
          <w:sz w:val="22"/>
          <w:szCs w:val="22"/>
          <w:lang w:val="es-ES_tradnl"/>
        </w:rPr>
        <w:lastRenderedPageBreak/>
        <w:t xml:space="preserve">promotoras, oferentes y ejecutoras) cuenten con información que permita realizar un análisis de este y emprender las acciones de mejora para </w:t>
      </w:r>
      <w:r w:rsidR="006851F7" w:rsidRPr="00CB24C7">
        <w:rPr>
          <w:rFonts w:ascii="Arial" w:hAnsi="Arial" w:cs="Arial"/>
          <w:sz w:val="22"/>
          <w:szCs w:val="22"/>
          <w:lang w:val="es-ES_tradnl"/>
        </w:rPr>
        <w:t>garantizar</w:t>
      </w:r>
      <w:r w:rsidRPr="00CB24C7">
        <w:rPr>
          <w:rFonts w:ascii="Arial" w:hAnsi="Arial" w:cs="Arial"/>
          <w:sz w:val="22"/>
          <w:szCs w:val="22"/>
          <w:lang w:val="es-ES_tradnl"/>
        </w:rPr>
        <w:t xml:space="preserve"> la materialización de los subsidios en trámite.</w:t>
      </w:r>
    </w:p>
    <w:p w14:paraId="65553BF5" w14:textId="77777777" w:rsidR="0038083E" w:rsidRDefault="0038083E" w:rsidP="00CB24C7">
      <w:pPr>
        <w:jc w:val="both"/>
        <w:rPr>
          <w:rFonts w:ascii="Arial" w:hAnsi="Arial" w:cs="Arial"/>
          <w:sz w:val="22"/>
          <w:szCs w:val="22"/>
          <w:lang w:val="es-ES_tradnl"/>
        </w:rPr>
      </w:pPr>
    </w:p>
    <w:p w14:paraId="43752AF2" w14:textId="2F531AE3" w:rsidR="00096CC5" w:rsidRDefault="0038083E" w:rsidP="00CB24C7">
      <w:pPr>
        <w:jc w:val="both"/>
        <w:rPr>
          <w:rFonts w:ascii="Arial" w:hAnsi="Arial" w:cs="Arial"/>
          <w:sz w:val="22"/>
          <w:szCs w:val="22"/>
          <w:lang w:val="es-ES_tradnl"/>
        </w:rPr>
      </w:pPr>
      <w:r>
        <w:rPr>
          <w:rFonts w:ascii="Arial" w:hAnsi="Arial" w:cs="Arial"/>
          <w:sz w:val="22"/>
          <w:szCs w:val="22"/>
          <w:lang w:val="es-ES_tradnl"/>
        </w:rPr>
        <w:t xml:space="preserve">Es preciso tener en cuenta </w:t>
      </w:r>
      <w:proofErr w:type="gramStart"/>
      <w:r>
        <w:rPr>
          <w:rFonts w:ascii="Arial" w:hAnsi="Arial" w:cs="Arial"/>
          <w:sz w:val="22"/>
          <w:szCs w:val="22"/>
          <w:lang w:val="es-ES_tradnl"/>
        </w:rPr>
        <w:t>que</w:t>
      </w:r>
      <w:proofErr w:type="gramEnd"/>
      <w:r w:rsidR="00713227">
        <w:rPr>
          <w:rFonts w:ascii="Arial" w:hAnsi="Arial" w:cs="Arial"/>
          <w:sz w:val="22"/>
          <w:szCs w:val="22"/>
          <w:lang w:val="es-ES_tradnl"/>
        </w:rPr>
        <w:t xml:space="preserve"> a la fecha de elaboración de este informe</w:t>
      </w:r>
      <w:r w:rsidR="004E415A">
        <w:rPr>
          <w:rFonts w:ascii="Arial" w:hAnsi="Arial" w:cs="Arial"/>
          <w:sz w:val="22"/>
          <w:szCs w:val="22"/>
          <w:lang w:val="es-ES_tradnl"/>
        </w:rPr>
        <w:t>,</w:t>
      </w:r>
      <w:r w:rsidR="00E336B3">
        <w:rPr>
          <w:rFonts w:ascii="Arial" w:hAnsi="Arial" w:cs="Arial"/>
          <w:sz w:val="22"/>
          <w:szCs w:val="22"/>
          <w:lang w:val="es-ES_tradnl"/>
        </w:rPr>
        <w:t xml:space="preserve"> la Ministra </w:t>
      </w:r>
      <w:r w:rsidR="00DB1CF7">
        <w:rPr>
          <w:rFonts w:ascii="Arial" w:hAnsi="Arial" w:cs="Arial"/>
          <w:sz w:val="22"/>
          <w:szCs w:val="22"/>
          <w:lang w:val="es-ES_tradnl"/>
        </w:rPr>
        <w:t xml:space="preserve">de Vivienda, Ciudad y Territorio </w:t>
      </w:r>
      <w:r w:rsidR="00121136">
        <w:rPr>
          <w:rFonts w:ascii="Arial" w:hAnsi="Arial" w:cs="Arial"/>
          <w:sz w:val="22"/>
          <w:szCs w:val="22"/>
          <w:lang w:val="es-ES_tradnl"/>
        </w:rPr>
        <w:t xml:space="preserve">actúa en calidad de Ministra de Agricultura y Desarrollo </w:t>
      </w:r>
      <w:proofErr w:type="spellStart"/>
      <w:r w:rsidR="00121136">
        <w:rPr>
          <w:rFonts w:ascii="Arial" w:hAnsi="Arial" w:cs="Arial"/>
          <w:sz w:val="22"/>
          <w:szCs w:val="22"/>
          <w:lang w:val="es-ES_tradnl"/>
        </w:rPr>
        <w:t>Riral</w:t>
      </w:r>
      <w:proofErr w:type="spellEnd"/>
      <w:r w:rsidR="00121136">
        <w:rPr>
          <w:rFonts w:ascii="Arial" w:hAnsi="Arial" w:cs="Arial"/>
          <w:sz w:val="22"/>
          <w:szCs w:val="22"/>
          <w:lang w:val="es-ES_tradnl"/>
        </w:rPr>
        <w:t xml:space="preserve"> a partir de la expedición del decreto 1419 de 2024, y el desarrollo de las actividades de la Dirección de </w:t>
      </w:r>
      <w:r w:rsidR="00C8474B">
        <w:rPr>
          <w:rFonts w:ascii="Arial" w:hAnsi="Arial" w:cs="Arial"/>
          <w:sz w:val="22"/>
          <w:szCs w:val="22"/>
          <w:lang w:val="es-ES_tradnl"/>
        </w:rPr>
        <w:t xml:space="preserve">Gestión de </w:t>
      </w:r>
      <w:r w:rsidR="00121136">
        <w:rPr>
          <w:rFonts w:ascii="Arial" w:hAnsi="Arial" w:cs="Arial"/>
          <w:sz w:val="22"/>
          <w:szCs w:val="22"/>
          <w:lang w:val="es-ES_tradnl"/>
        </w:rPr>
        <w:t xml:space="preserve">Bienes Públicos Rurales </w:t>
      </w:r>
      <w:r w:rsidR="00C8474B">
        <w:rPr>
          <w:rFonts w:ascii="Arial" w:hAnsi="Arial" w:cs="Arial"/>
          <w:sz w:val="22"/>
          <w:szCs w:val="22"/>
          <w:lang w:val="es-ES_tradnl"/>
        </w:rPr>
        <w:t xml:space="preserve">se rige a las instrucciones recibidas. </w:t>
      </w:r>
    </w:p>
    <w:p w14:paraId="125351D7" w14:textId="170AAAA1" w:rsidR="004E415A" w:rsidRPr="00CB24C7" w:rsidRDefault="004E415A" w:rsidP="00CB24C7">
      <w:pPr>
        <w:jc w:val="both"/>
        <w:rPr>
          <w:rFonts w:ascii="Arial" w:hAnsi="Arial" w:cs="Arial"/>
          <w:sz w:val="22"/>
          <w:szCs w:val="22"/>
          <w:lang w:val="es-ES_tradnl"/>
        </w:rPr>
      </w:pPr>
    </w:p>
    <w:p w14:paraId="54217E52" w14:textId="0FB90D28" w:rsidR="00E06E3C" w:rsidRPr="000E53E1" w:rsidRDefault="0070764E" w:rsidP="005F760B">
      <w:pPr>
        <w:pStyle w:val="Ttulo1"/>
        <w:numPr>
          <w:ilvl w:val="0"/>
          <w:numId w:val="7"/>
        </w:numPr>
        <w:spacing w:before="0"/>
        <w:jc w:val="both"/>
        <w:rPr>
          <w:rFonts w:ascii="Arial" w:hAnsi="Arial" w:cs="Arial"/>
          <w:b/>
          <w:bCs/>
          <w:color w:val="385623" w:themeColor="accent6" w:themeShade="80"/>
          <w:sz w:val="22"/>
          <w:szCs w:val="22"/>
          <w:lang w:val="es-ES_tradnl"/>
        </w:rPr>
      </w:pPr>
      <w:bookmarkStart w:id="4" w:name="_Toc225874777"/>
      <w:r w:rsidRPr="000E53E1">
        <w:rPr>
          <w:rFonts w:ascii="Arial" w:hAnsi="Arial" w:cs="Arial"/>
          <w:b/>
          <w:bCs/>
          <w:color w:val="385623" w:themeColor="accent6" w:themeShade="80"/>
          <w:sz w:val="22"/>
          <w:szCs w:val="22"/>
          <w:lang w:val="es-ES_tradnl"/>
        </w:rPr>
        <w:t>METAS GENERALES DEL PROGRAMA</w:t>
      </w:r>
      <w:bookmarkStart w:id="5" w:name="_Hlk69423731"/>
      <w:bookmarkEnd w:id="4"/>
    </w:p>
    <w:p w14:paraId="46BA3D20" w14:textId="77777777" w:rsidR="00E06E3C" w:rsidRPr="00CB24C7" w:rsidRDefault="00E06E3C" w:rsidP="00CB24C7">
      <w:pPr>
        <w:rPr>
          <w:rFonts w:ascii="Arial" w:hAnsi="Arial" w:cs="Arial"/>
          <w:b/>
          <w:bCs/>
          <w:sz w:val="22"/>
          <w:szCs w:val="22"/>
          <w:lang w:val="es-ES_tradnl"/>
        </w:rPr>
      </w:pPr>
    </w:p>
    <w:p w14:paraId="23F7FC70" w14:textId="493A7B31" w:rsidR="00E06E3C" w:rsidRPr="000E53E1" w:rsidRDefault="005920C4" w:rsidP="005F760B">
      <w:pPr>
        <w:pStyle w:val="Ttulo1"/>
        <w:numPr>
          <w:ilvl w:val="1"/>
          <w:numId w:val="7"/>
        </w:numPr>
        <w:spacing w:before="0"/>
        <w:jc w:val="both"/>
        <w:rPr>
          <w:rFonts w:ascii="Arial" w:hAnsi="Arial" w:cs="Arial"/>
          <w:b/>
          <w:bCs/>
          <w:color w:val="385623" w:themeColor="accent6" w:themeShade="80"/>
          <w:sz w:val="22"/>
          <w:szCs w:val="22"/>
          <w:lang w:val="es-ES_tradnl"/>
        </w:rPr>
      </w:pPr>
      <w:r w:rsidRPr="000E53E1">
        <w:rPr>
          <w:rFonts w:ascii="Arial" w:hAnsi="Arial" w:cs="Arial"/>
          <w:b/>
          <w:bCs/>
          <w:color w:val="385623" w:themeColor="accent6" w:themeShade="80"/>
          <w:sz w:val="22"/>
          <w:szCs w:val="22"/>
          <w:lang w:val="es-ES_tradnl"/>
        </w:rPr>
        <w:t xml:space="preserve"> </w:t>
      </w:r>
      <w:bookmarkStart w:id="6" w:name="_Toc225874778"/>
      <w:r w:rsidR="00E06E3C" w:rsidRPr="000E53E1">
        <w:rPr>
          <w:rFonts w:ascii="Arial" w:hAnsi="Arial" w:cs="Arial"/>
          <w:b/>
          <w:bCs/>
          <w:color w:val="385623" w:themeColor="accent6" w:themeShade="80"/>
          <w:sz w:val="22"/>
          <w:szCs w:val="22"/>
          <w:lang w:val="es-ES_tradnl"/>
        </w:rPr>
        <w:t>Metas Plan Nacional de Desarrollo</w:t>
      </w:r>
      <w:bookmarkEnd w:id="6"/>
    </w:p>
    <w:p w14:paraId="6649E32C" w14:textId="653D5345" w:rsidR="0078548F" w:rsidRPr="0017217B" w:rsidRDefault="0017217B" w:rsidP="00CB24C7">
      <w:pPr>
        <w:jc w:val="both"/>
        <w:rPr>
          <w:rFonts w:ascii="Arial" w:hAnsi="Arial" w:cs="Arial"/>
          <w:color w:val="EE0000"/>
          <w:sz w:val="22"/>
          <w:szCs w:val="22"/>
          <w:lang w:val="es-ES_tradnl"/>
        </w:rPr>
      </w:pPr>
      <w:r w:rsidRPr="0017217B">
        <w:rPr>
          <w:rFonts w:ascii="Arial" w:hAnsi="Arial" w:cs="Arial"/>
          <w:color w:val="EE0000"/>
          <w:sz w:val="22"/>
          <w:szCs w:val="22"/>
          <w:lang w:val="es-ES_tradnl"/>
        </w:rPr>
        <w:t>FREDDY</w:t>
      </w:r>
      <w:r>
        <w:rPr>
          <w:rFonts w:ascii="Arial" w:hAnsi="Arial" w:cs="Arial"/>
          <w:color w:val="EE0000"/>
          <w:sz w:val="22"/>
          <w:szCs w:val="22"/>
          <w:lang w:val="es-ES_tradnl"/>
        </w:rPr>
        <w:t xml:space="preserve"> APOYO ESNEYDER</w:t>
      </w:r>
    </w:p>
    <w:p w14:paraId="72A9F4A4" w14:textId="77777777" w:rsidR="00AA3F59" w:rsidRDefault="00F40C85" w:rsidP="00CB24C7">
      <w:pPr>
        <w:jc w:val="both"/>
        <w:rPr>
          <w:rFonts w:ascii="Arial" w:hAnsi="Arial" w:cs="Arial"/>
          <w:sz w:val="22"/>
          <w:szCs w:val="22"/>
          <w:lang w:val="es-ES_tradnl"/>
        </w:rPr>
      </w:pPr>
      <w:r w:rsidRPr="00DC697C">
        <w:rPr>
          <w:rFonts w:ascii="Arial" w:hAnsi="Arial" w:cs="Arial"/>
          <w:sz w:val="22"/>
          <w:szCs w:val="22"/>
          <w:lang w:val="es-ES_tradnl"/>
        </w:rPr>
        <w:t>Teniendo en cuenta lo dispuesto por el Plan Nacional de Desarrollo</w:t>
      </w:r>
      <w:r w:rsidR="003651F5" w:rsidRPr="00DC697C">
        <w:rPr>
          <w:rFonts w:ascii="Arial" w:hAnsi="Arial" w:cs="Arial"/>
          <w:sz w:val="22"/>
          <w:szCs w:val="22"/>
          <w:lang w:val="es-ES_tradnl"/>
        </w:rPr>
        <w:t xml:space="preserve"> 202</w:t>
      </w:r>
      <w:r w:rsidR="00684ED8" w:rsidRPr="00DC697C">
        <w:rPr>
          <w:rFonts w:ascii="Arial" w:hAnsi="Arial" w:cs="Arial"/>
          <w:sz w:val="22"/>
          <w:szCs w:val="22"/>
          <w:lang w:val="es-ES_tradnl"/>
        </w:rPr>
        <w:t>3</w:t>
      </w:r>
      <w:r w:rsidR="003651F5" w:rsidRPr="00DC697C">
        <w:rPr>
          <w:rFonts w:ascii="Arial" w:hAnsi="Arial" w:cs="Arial"/>
          <w:sz w:val="22"/>
          <w:szCs w:val="22"/>
          <w:lang w:val="es-ES_tradnl"/>
        </w:rPr>
        <w:t>-</w:t>
      </w:r>
      <w:r w:rsidRPr="00DC697C">
        <w:rPr>
          <w:rFonts w:ascii="Arial" w:hAnsi="Arial" w:cs="Arial"/>
          <w:sz w:val="22"/>
          <w:szCs w:val="22"/>
          <w:lang w:val="es-ES_tradnl"/>
        </w:rPr>
        <w:t>202</w:t>
      </w:r>
      <w:r w:rsidR="003651F5" w:rsidRPr="00DC697C">
        <w:rPr>
          <w:rFonts w:ascii="Arial" w:hAnsi="Arial" w:cs="Arial"/>
          <w:sz w:val="22"/>
          <w:szCs w:val="22"/>
          <w:lang w:val="es-ES_tradnl"/>
        </w:rPr>
        <w:t>6</w:t>
      </w:r>
      <w:r w:rsidRPr="00DC697C">
        <w:rPr>
          <w:rFonts w:ascii="Arial" w:hAnsi="Arial" w:cs="Arial"/>
          <w:sz w:val="22"/>
          <w:szCs w:val="22"/>
          <w:lang w:val="es-ES_tradnl"/>
        </w:rPr>
        <w:t xml:space="preserve">, </w:t>
      </w:r>
      <w:r w:rsidR="00684ED8" w:rsidRPr="00DC697C">
        <w:rPr>
          <w:rFonts w:ascii="Arial" w:hAnsi="Arial" w:cs="Arial"/>
          <w:sz w:val="22"/>
          <w:szCs w:val="22"/>
          <w:lang w:val="es-ES_tradnl"/>
        </w:rPr>
        <w:t xml:space="preserve">la meta trazada para </w:t>
      </w:r>
      <w:r w:rsidR="00E824DB">
        <w:rPr>
          <w:rFonts w:ascii="Arial" w:hAnsi="Arial" w:cs="Arial"/>
          <w:sz w:val="22"/>
          <w:szCs w:val="22"/>
          <w:lang w:val="es-ES_tradnl"/>
        </w:rPr>
        <w:t xml:space="preserve">el cuatrienio está encaminada a </w:t>
      </w:r>
      <w:r w:rsidR="002C3D5F">
        <w:rPr>
          <w:rFonts w:ascii="Arial" w:hAnsi="Arial" w:cs="Arial"/>
          <w:sz w:val="22"/>
          <w:szCs w:val="22"/>
          <w:lang w:val="es-ES_tradnl"/>
        </w:rPr>
        <w:t>gestionar el rezago de los subsidios otorgados a lo largo de los años 2000 a 2019, en esa medida</w:t>
      </w:r>
      <w:r w:rsidR="005E47A5">
        <w:rPr>
          <w:rFonts w:ascii="Arial" w:hAnsi="Arial" w:cs="Arial"/>
          <w:sz w:val="22"/>
          <w:szCs w:val="22"/>
          <w:lang w:val="es-ES_tradnl"/>
        </w:rPr>
        <w:t>,</w:t>
      </w:r>
      <w:r w:rsidR="00D75863">
        <w:rPr>
          <w:rFonts w:ascii="Arial" w:hAnsi="Arial" w:cs="Arial"/>
          <w:sz w:val="22"/>
          <w:szCs w:val="22"/>
          <w:lang w:val="es-ES_tradnl"/>
        </w:rPr>
        <w:t xml:space="preserve"> </w:t>
      </w:r>
      <w:r w:rsidR="004C5DC5">
        <w:rPr>
          <w:rFonts w:ascii="Arial" w:hAnsi="Arial" w:cs="Arial"/>
          <w:sz w:val="22"/>
          <w:szCs w:val="22"/>
          <w:lang w:val="es-ES_tradnl"/>
        </w:rPr>
        <w:t xml:space="preserve">la primera acción verificable desde el </w:t>
      </w:r>
      <w:r w:rsidR="00EA5226">
        <w:rPr>
          <w:rFonts w:ascii="Arial" w:hAnsi="Arial" w:cs="Arial"/>
          <w:sz w:val="22"/>
          <w:szCs w:val="22"/>
          <w:lang w:val="es-ES_tradnl"/>
        </w:rPr>
        <w:t>Ministerio de Agricultura y Desarrollo Ru</w:t>
      </w:r>
      <w:r w:rsidR="005E47A5">
        <w:rPr>
          <w:rFonts w:ascii="Arial" w:hAnsi="Arial" w:cs="Arial"/>
          <w:sz w:val="22"/>
          <w:szCs w:val="22"/>
          <w:lang w:val="es-ES_tradnl"/>
        </w:rPr>
        <w:t>r</w:t>
      </w:r>
      <w:r w:rsidR="00EA5226">
        <w:rPr>
          <w:rFonts w:ascii="Arial" w:hAnsi="Arial" w:cs="Arial"/>
          <w:sz w:val="22"/>
          <w:szCs w:val="22"/>
          <w:lang w:val="es-ES_tradnl"/>
        </w:rPr>
        <w:t xml:space="preserve">al </w:t>
      </w:r>
      <w:r w:rsidR="004C5DC5">
        <w:rPr>
          <w:rFonts w:ascii="Arial" w:hAnsi="Arial" w:cs="Arial"/>
          <w:sz w:val="22"/>
          <w:szCs w:val="22"/>
          <w:lang w:val="es-ES_tradnl"/>
        </w:rPr>
        <w:t xml:space="preserve">es la indexación </w:t>
      </w:r>
      <w:r w:rsidR="005E47A5">
        <w:rPr>
          <w:rFonts w:ascii="Arial" w:hAnsi="Arial" w:cs="Arial"/>
          <w:sz w:val="22"/>
          <w:szCs w:val="22"/>
          <w:lang w:val="es-ES_tradnl"/>
        </w:rPr>
        <w:t xml:space="preserve">o cierre </w:t>
      </w:r>
      <w:r w:rsidR="004C5DC5">
        <w:rPr>
          <w:rFonts w:ascii="Arial" w:hAnsi="Arial" w:cs="Arial"/>
          <w:sz w:val="22"/>
          <w:szCs w:val="22"/>
          <w:lang w:val="es-ES_tradnl"/>
        </w:rPr>
        <w:t>de subsidios</w:t>
      </w:r>
      <w:r w:rsidR="00DC42C0">
        <w:rPr>
          <w:rFonts w:ascii="Arial" w:hAnsi="Arial" w:cs="Arial"/>
          <w:sz w:val="22"/>
          <w:szCs w:val="22"/>
          <w:lang w:val="es-ES_tradnl"/>
        </w:rPr>
        <w:t>, la cual fue objeto de modificación el 28 de octubre de 2025 a través del ajuste del proyecto de inversión quedando así:</w:t>
      </w:r>
    </w:p>
    <w:p w14:paraId="20B36CFF" w14:textId="77777777" w:rsidR="00EC706E" w:rsidRDefault="00EC706E" w:rsidP="00CB24C7">
      <w:pPr>
        <w:jc w:val="both"/>
        <w:rPr>
          <w:rFonts w:ascii="Arial" w:hAnsi="Arial" w:cs="Arial"/>
          <w:sz w:val="22"/>
          <w:szCs w:val="22"/>
          <w:lang w:val="es-ES_tradnl"/>
        </w:rPr>
      </w:pPr>
    </w:p>
    <w:p w14:paraId="1629BCFF" w14:textId="77777777" w:rsidR="00AA3F59" w:rsidRDefault="00AA3F59" w:rsidP="00CB24C7">
      <w:pPr>
        <w:jc w:val="both"/>
        <w:rPr>
          <w:rFonts w:ascii="Arial" w:hAnsi="Arial" w:cs="Arial"/>
          <w:sz w:val="22"/>
          <w:szCs w:val="22"/>
          <w:lang w:val="es-ES_tradnl"/>
        </w:rPr>
      </w:pPr>
    </w:p>
    <w:p w14:paraId="4D3AEBB3" w14:textId="0E9A8531" w:rsidR="00BB4831" w:rsidRPr="00724889" w:rsidRDefault="00BB4831" w:rsidP="00BB4831">
      <w:pPr>
        <w:jc w:val="center"/>
        <w:rPr>
          <w:rFonts w:ascii="Arial" w:hAnsi="Arial" w:cs="Arial"/>
          <w:sz w:val="22"/>
          <w:szCs w:val="22"/>
          <w:lang w:val="es-ES_tradnl"/>
        </w:rPr>
      </w:pPr>
      <w:r w:rsidRPr="00724889">
        <w:rPr>
          <w:rFonts w:ascii="Arial" w:hAnsi="Arial" w:cs="Arial"/>
          <w:sz w:val="22"/>
          <w:szCs w:val="22"/>
        </w:rPr>
        <w:t xml:space="preserve">Tabla </w:t>
      </w:r>
      <w:r w:rsidRPr="00724889">
        <w:rPr>
          <w:rFonts w:ascii="Arial" w:hAnsi="Arial" w:cs="Arial"/>
          <w:sz w:val="22"/>
          <w:szCs w:val="22"/>
        </w:rPr>
        <w:fldChar w:fldCharType="begin"/>
      </w:r>
      <w:r w:rsidRPr="00724889">
        <w:rPr>
          <w:rFonts w:ascii="Arial" w:hAnsi="Arial" w:cs="Arial"/>
          <w:sz w:val="22"/>
          <w:szCs w:val="22"/>
        </w:rPr>
        <w:instrText xml:space="preserve"> SEQ Tabla \* ARABIC </w:instrText>
      </w:r>
      <w:r w:rsidRPr="00724889">
        <w:rPr>
          <w:rFonts w:ascii="Arial" w:hAnsi="Arial" w:cs="Arial"/>
          <w:sz w:val="22"/>
          <w:szCs w:val="22"/>
        </w:rPr>
        <w:fldChar w:fldCharType="separate"/>
      </w:r>
      <w:r w:rsidRPr="00724889">
        <w:rPr>
          <w:rFonts w:ascii="Arial" w:hAnsi="Arial" w:cs="Arial"/>
          <w:noProof/>
          <w:sz w:val="22"/>
          <w:szCs w:val="22"/>
        </w:rPr>
        <w:t>1</w:t>
      </w:r>
      <w:r w:rsidRPr="00724889">
        <w:rPr>
          <w:rFonts w:ascii="Arial" w:hAnsi="Arial" w:cs="Arial"/>
          <w:sz w:val="22"/>
          <w:szCs w:val="22"/>
        </w:rPr>
        <w:fldChar w:fldCharType="end"/>
      </w:r>
      <w:r w:rsidR="00724889" w:rsidRPr="00724889">
        <w:rPr>
          <w:rFonts w:ascii="Arial" w:hAnsi="Arial" w:cs="Arial"/>
          <w:sz w:val="22"/>
          <w:szCs w:val="22"/>
        </w:rPr>
        <w:t xml:space="preserve"> </w:t>
      </w:r>
      <w:r w:rsidR="00724889">
        <w:rPr>
          <w:rFonts w:ascii="Arial" w:hAnsi="Arial" w:cs="Arial"/>
          <w:sz w:val="22"/>
          <w:szCs w:val="22"/>
        </w:rPr>
        <w:t xml:space="preserve">Ajuste a la </w:t>
      </w:r>
      <w:r w:rsidR="004535EB">
        <w:rPr>
          <w:rFonts w:ascii="Arial" w:hAnsi="Arial" w:cs="Arial"/>
          <w:sz w:val="22"/>
          <w:szCs w:val="22"/>
        </w:rPr>
        <w:t>Meta</w:t>
      </w:r>
      <w:r w:rsidR="00F83C6A">
        <w:rPr>
          <w:rFonts w:ascii="Arial" w:hAnsi="Arial" w:cs="Arial"/>
          <w:sz w:val="22"/>
          <w:szCs w:val="22"/>
        </w:rPr>
        <w:t xml:space="preserve"> </w:t>
      </w:r>
      <w:commentRangeStart w:id="7"/>
      <w:r w:rsidR="00F83C6A">
        <w:rPr>
          <w:rFonts w:ascii="Arial" w:hAnsi="Arial" w:cs="Arial"/>
          <w:sz w:val="22"/>
          <w:szCs w:val="22"/>
        </w:rPr>
        <w:t>2025</w:t>
      </w:r>
      <w:commentRangeEnd w:id="7"/>
      <w:r w:rsidR="0017217B" w:rsidRPr="00724889">
        <w:rPr>
          <w:rStyle w:val="Refdecomentario"/>
          <w:rFonts w:ascii="Arial" w:hAnsi="Arial" w:cs="Arial"/>
          <w:sz w:val="22"/>
          <w:szCs w:val="22"/>
          <w:lang w:val="es-ES_tradnl"/>
        </w:rPr>
        <w:commentReference w:id="7"/>
      </w:r>
    </w:p>
    <w:tbl>
      <w:tblPr>
        <w:tblStyle w:val="Tablaconcuadrcula"/>
        <w:tblW w:w="0" w:type="auto"/>
        <w:jc w:val="center"/>
        <w:tblLook w:val="04A0" w:firstRow="1" w:lastRow="0" w:firstColumn="1" w:lastColumn="0" w:noHBand="0" w:noVBand="1"/>
      </w:tblPr>
      <w:tblGrid>
        <w:gridCol w:w="1765"/>
        <w:gridCol w:w="1765"/>
        <w:gridCol w:w="1766"/>
        <w:gridCol w:w="1766"/>
        <w:gridCol w:w="1766"/>
      </w:tblGrid>
      <w:tr w:rsidR="00FD72B9" w:rsidRPr="00170C6F" w14:paraId="6A7E4A14" w14:textId="77777777" w:rsidTr="00B96E3A">
        <w:trPr>
          <w:jc w:val="center"/>
        </w:trPr>
        <w:tc>
          <w:tcPr>
            <w:tcW w:w="1765" w:type="dxa"/>
          </w:tcPr>
          <w:p w14:paraId="786E1A37" w14:textId="4A00C9D4" w:rsidR="00FD72B9" w:rsidRPr="00170C6F" w:rsidRDefault="00B96E3A" w:rsidP="00FA0245">
            <w:pPr>
              <w:jc w:val="center"/>
              <w:rPr>
                <w:rFonts w:ascii="Arial" w:hAnsi="Arial" w:cs="Arial"/>
                <w:b/>
                <w:bCs/>
                <w:sz w:val="20"/>
                <w:szCs w:val="20"/>
                <w:lang w:val="es-ES_tradnl"/>
              </w:rPr>
            </w:pPr>
            <w:r w:rsidRPr="00170C6F">
              <w:rPr>
                <w:rFonts w:ascii="Arial" w:hAnsi="Arial" w:cs="Arial"/>
                <w:b/>
                <w:bCs/>
                <w:sz w:val="20"/>
                <w:szCs w:val="20"/>
                <w:lang w:val="es-ES_tradnl"/>
              </w:rPr>
              <w:t>Objetivo específico</w:t>
            </w:r>
          </w:p>
        </w:tc>
        <w:tc>
          <w:tcPr>
            <w:tcW w:w="1765" w:type="dxa"/>
          </w:tcPr>
          <w:p w14:paraId="32F0B295" w14:textId="409D5170" w:rsidR="00FD72B9" w:rsidRPr="00170C6F" w:rsidRDefault="00B96E3A" w:rsidP="00FA0245">
            <w:pPr>
              <w:jc w:val="center"/>
              <w:rPr>
                <w:rFonts w:ascii="Arial" w:hAnsi="Arial" w:cs="Arial"/>
                <w:b/>
                <w:bCs/>
                <w:sz w:val="20"/>
                <w:szCs w:val="20"/>
                <w:lang w:val="es-ES_tradnl"/>
              </w:rPr>
            </w:pPr>
            <w:r w:rsidRPr="00170C6F">
              <w:rPr>
                <w:rFonts w:ascii="Arial" w:hAnsi="Arial" w:cs="Arial"/>
                <w:b/>
                <w:bCs/>
                <w:sz w:val="20"/>
                <w:szCs w:val="20"/>
                <w:lang w:val="es-ES_tradnl"/>
              </w:rPr>
              <w:t>Producto</w:t>
            </w:r>
          </w:p>
        </w:tc>
        <w:tc>
          <w:tcPr>
            <w:tcW w:w="1766" w:type="dxa"/>
          </w:tcPr>
          <w:p w14:paraId="63BBA42D" w14:textId="2870D4AB" w:rsidR="00FD72B9" w:rsidRPr="00170C6F" w:rsidRDefault="00B96E3A" w:rsidP="00FA0245">
            <w:pPr>
              <w:jc w:val="center"/>
              <w:rPr>
                <w:rFonts w:ascii="Arial" w:hAnsi="Arial" w:cs="Arial"/>
                <w:b/>
                <w:bCs/>
                <w:sz w:val="20"/>
                <w:szCs w:val="20"/>
                <w:lang w:val="es-ES_tradnl"/>
              </w:rPr>
            </w:pPr>
            <w:r w:rsidRPr="00170C6F">
              <w:rPr>
                <w:rFonts w:ascii="Arial" w:hAnsi="Arial" w:cs="Arial"/>
                <w:b/>
                <w:bCs/>
                <w:sz w:val="20"/>
                <w:szCs w:val="20"/>
                <w:lang w:val="es-ES_tradnl"/>
              </w:rPr>
              <w:t>Indicador</w:t>
            </w:r>
          </w:p>
          <w:p w14:paraId="56FFC8AE" w14:textId="63BB4063" w:rsidR="00197999" w:rsidRPr="00170C6F" w:rsidRDefault="00B96E3A" w:rsidP="00FA0245">
            <w:pPr>
              <w:jc w:val="center"/>
              <w:rPr>
                <w:rFonts w:ascii="Arial" w:hAnsi="Arial" w:cs="Arial"/>
                <w:b/>
                <w:bCs/>
                <w:sz w:val="20"/>
                <w:szCs w:val="20"/>
                <w:lang w:val="es-ES_tradnl"/>
              </w:rPr>
            </w:pPr>
            <w:r w:rsidRPr="00170C6F">
              <w:rPr>
                <w:rFonts w:ascii="Arial" w:hAnsi="Arial" w:cs="Arial"/>
                <w:b/>
                <w:bCs/>
                <w:sz w:val="20"/>
                <w:szCs w:val="20"/>
                <w:lang w:val="es-ES_tradnl"/>
              </w:rPr>
              <w:t>Secundario</w:t>
            </w:r>
          </w:p>
        </w:tc>
        <w:tc>
          <w:tcPr>
            <w:tcW w:w="1766" w:type="dxa"/>
          </w:tcPr>
          <w:p w14:paraId="2DC2B126" w14:textId="5F5F2224" w:rsidR="00FD72B9" w:rsidRPr="00170C6F" w:rsidRDefault="00B96E3A" w:rsidP="00FA0245">
            <w:pPr>
              <w:jc w:val="center"/>
              <w:rPr>
                <w:rFonts w:ascii="Arial" w:hAnsi="Arial" w:cs="Arial"/>
                <w:b/>
                <w:bCs/>
                <w:sz w:val="20"/>
                <w:szCs w:val="20"/>
                <w:lang w:val="es-ES_tradnl"/>
              </w:rPr>
            </w:pPr>
            <w:r w:rsidRPr="00170C6F">
              <w:rPr>
                <w:rFonts w:ascii="Arial" w:hAnsi="Arial" w:cs="Arial"/>
                <w:b/>
                <w:bCs/>
                <w:sz w:val="20"/>
                <w:szCs w:val="20"/>
                <w:lang w:val="es-ES_tradnl"/>
              </w:rPr>
              <w:t>Meta corte sep. 2025</w:t>
            </w:r>
          </w:p>
        </w:tc>
        <w:tc>
          <w:tcPr>
            <w:tcW w:w="1766" w:type="dxa"/>
          </w:tcPr>
          <w:p w14:paraId="2112D4E6" w14:textId="2362AEF0" w:rsidR="00FD72B9" w:rsidRPr="00170C6F" w:rsidRDefault="00B96E3A" w:rsidP="00FA0245">
            <w:pPr>
              <w:jc w:val="center"/>
              <w:rPr>
                <w:rFonts w:ascii="Arial" w:hAnsi="Arial" w:cs="Arial"/>
                <w:b/>
                <w:bCs/>
                <w:sz w:val="20"/>
                <w:szCs w:val="20"/>
                <w:lang w:val="es-ES_tradnl"/>
              </w:rPr>
            </w:pPr>
            <w:r w:rsidRPr="00170C6F">
              <w:rPr>
                <w:rFonts w:ascii="Arial" w:hAnsi="Arial" w:cs="Arial"/>
                <w:b/>
                <w:bCs/>
                <w:sz w:val="20"/>
                <w:szCs w:val="20"/>
                <w:lang w:val="es-ES_tradnl"/>
              </w:rPr>
              <w:t>Meta ajustada octubre 2025</w:t>
            </w:r>
          </w:p>
        </w:tc>
      </w:tr>
      <w:tr w:rsidR="00FA0245" w:rsidRPr="00170C6F" w14:paraId="1F2B36D0" w14:textId="77777777" w:rsidTr="00B96E3A">
        <w:trPr>
          <w:jc w:val="center"/>
        </w:trPr>
        <w:tc>
          <w:tcPr>
            <w:tcW w:w="1765" w:type="dxa"/>
          </w:tcPr>
          <w:p w14:paraId="0629C9ED" w14:textId="77777777" w:rsidR="00B96E3A" w:rsidRPr="00170C6F" w:rsidRDefault="00B96E3A" w:rsidP="00B96E3A">
            <w:pPr>
              <w:jc w:val="center"/>
              <w:rPr>
                <w:rFonts w:ascii="Arial" w:hAnsi="Arial" w:cs="Arial"/>
                <w:sz w:val="20"/>
                <w:szCs w:val="20"/>
                <w:lang w:val="es-ES_tradnl"/>
              </w:rPr>
            </w:pPr>
            <w:r w:rsidRPr="00170C6F">
              <w:rPr>
                <w:rFonts w:ascii="Arial" w:hAnsi="Arial" w:cs="Arial"/>
                <w:sz w:val="20"/>
                <w:szCs w:val="20"/>
                <w:lang w:val="es-ES_tradnl"/>
              </w:rPr>
              <w:t xml:space="preserve">Aumentar la eficacia en la </w:t>
            </w:r>
          </w:p>
          <w:p w14:paraId="0C343D7A" w14:textId="77777777" w:rsidR="00B96E3A" w:rsidRPr="00170C6F" w:rsidRDefault="00B96E3A" w:rsidP="00B96E3A">
            <w:pPr>
              <w:jc w:val="center"/>
              <w:rPr>
                <w:rFonts w:ascii="Arial" w:hAnsi="Arial" w:cs="Arial"/>
                <w:sz w:val="20"/>
                <w:szCs w:val="20"/>
                <w:lang w:val="es-ES_tradnl"/>
              </w:rPr>
            </w:pPr>
            <w:r w:rsidRPr="00170C6F">
              <w:rPr>
                <w:rFonts w:ascii="Arial" w:hAnsi="Arial" w:cs="Arial"/>
                <w:sz w:val="20"/>
                <w:szCs w:val="20"/>
                <w:lang w:val="es-ES_tradnl"/>
              </w:rPr>
              <w:t xml:space="preserve">materialización de los SFVISR </w:t>
            </w:r>
          </w:p>
          <w:p w14:paraId="4B272386" w14:textId="77777777" w:rsidR="00B96E3A" w:rsidRPr="00170C6F" w:rsidRDefault="00B96E3A" w:rsidP="00B96E3A">
            <w:pPr>
              <w:jc w:val="center"/>
              <w:rPr>
                <w:rFonts w:ascii="Arial" w:hAnsi="Arial" w:cs="Arial"/>
                <w:sz w:val="20"/>
                <w:szCs w:val="20"/>
                <w:lang w:val="es-ES_tradnl"/>
              </w:rPr>
            </w:pPr>
            <w:r w:rsidRPr="00170C6F">
              <w:rPr>
                <w:rFonts w:ascii="Arial" w:hAnsi="Arial" w:cs="Arial"/>
                <w:sz w:val="20"/>
                <w:szCs w:val="20"/>
                <w:lang w:val="es-ES_tradnl"/>
              </w:rPr>
              <w:t xml:space="preserve">otorgados de las vigencias </w:t>
            </w:r>
          </w:p>
          <w:p w14:paraId="33B6AECF" w14:textId="378A99FB" w:rsidR="00FA0245" w:rsidRPr="00170C6F" w:rsidRDefault="00B96E3A" w:rsidP="00B96E3A">
            <w:pPr>
              <w:jc w:val="center"/>
              <w:rPr>
                <w:rFonts w:ascii="Arial" w:hAnsi="Arial" w:cs="Arial"/>
                <w:sz w:val="20"/>
                <w:szCs w:val="20"/>
                <w:lang w:val="es-ES_tradnl"/>
              </w:rPr>
            </w:pPr>
            <w:r w:rsidRPr="00170C6F">
              <w:rPr>
                <w:rFonts w:ascii="Arial" w:hAnsi="Arial" w:cs="Arial"/>
                <w:sz w:val="20"/>
                <w:szCs w:val="20"/>
                <w:lang w:val="es-ES_tradnl"/>
              </w:rPr>
              <w:t>2000 a 2019</w:t>
            </w:r>
          </w:p>
        </w:tc>
        <w:tc>
          <w:tcPr>
            <w:tcW w:w="1765" w:type="dxa"/>
          </w:tcPr>
          <w:p w14:paraId="2F75AC94" w14:textId="77777777" w:rsidR="00B96E3A" w:rsidRPr="00170C6F" w:rsidRDefault="00B96E3A" w:rsidP="00B96E3A">
            <w:pPr>
              <w:jc w:val="center"/>
              <w:rPr>
                <w:rFonts w:ascii="Arial" w:hAnsi="Arial" w:cs="Arial"/>
                <w:sz w:val="20"/>
                <w:szCs w:val="20"/>
                <w:lang w:val="es-ES_tradnl"/>
              </w:rPr>
            </w:pPr>
          </w:p>
          <w:p w14:paraId="04B2E272" w14:textId="1BDE0515" w:rsidR="00B96E3A" w:rsidRPr="00170C6F" w:rsidRDefault="00B96E3A" w:rsidP="00B96E3A">
            <w:pPr>
              <w:jc w:val="center"/>
              <w:rPr>
                <w:rFonts w:ascii="Arial" w:hAnsi="Arial" w:cs="Arial"/>
                <w:sz w:val="20"/>
                <w:szCs w:val="20"/>
                <w:lang w:val="es-ES_tradnl"/>
              </w:rPr>
            </w:pPr>
            <w:r w:rsidRPr="00170C6F">
              <w:rPr>
                <w:rFonts w:ascii="Arial" w:hAnsi="Arial" w:cs="Arial"/>
                <w:sz w:val="20"/>
                <w:szCs w:val="20"/>
                <w:lang w:val="es-ES_tradnl"/>
              </w:rPr>
              <w:t xml:space="preserve">Servicio de apoyo </w:t>
            </w:r>
          </w:p>
          <w:p w14:paraId="5DA5E3B6" w14:textId="77777777" w:rsidR="00B96E3A" w:rsidRPr="00170C6F" w:rsidRDefault="00B96E3A" w:rsidP="00B96E3A">
            <w:pPr>
              <w:jc w:val="center"/>
              <w:rPr>
                <w:rFonts w:ascii="Arial" w:hAnsi="Arial" w:cs="Arial"/>
                <w:sz w:val="20"/>
                <w:szCs w:val="20"/>
                <w:lang w:val="es-ES_tradnl"/>
              </w:rPr>
            </w:pPr>
            <w:r w:rsidRPr="00170C6F">
              <w:rPr>
                <w:rFonts w:ascii="Arial" w:hAnsi="Arial" w:cs="Arial"/>
                <w:sz w:val="20"/>
                <w:szCs w:val="20"/>
                <w:lang w:val="es-ES_tradnl"/>
              </w:rPr>
              <w:t>financiero para</w:t>
            </w:r>
          </w:p>
          <w:p w14:paraId="401DB514" w14:textId="77777777" w:rsidR="00B96E3A" w:rsidRPr="00170C6F" w:rsidRDefault="00B96E3A" w:rsidP="00B96E3A">
            <w:pPr>
              <w:jc w:val="center"/>
              <w:rPr>
                <w:rFonts w:ascii="Arial" w:hAnsi="Arial" w:cs="Arial"/>
                <w:sz w:val="20"/>
                <w:szCs w:val="20"/>
                <w:lang w:val="es-ES_tradnl"/>
              </w:rPr>
            </w:pPr>
            <w:r w:rsidRPr="00170C6F">
              <w:rPr>
                <w:rFonts w:ascii="Arial" w:hAnsi="Arial" w:cs="Arial"/>
                <w:sz w:val="20"/>
                <w:szCs w:val="20"/>
                <w:lang w:val="es-ES_tradnl"/>
              </w:rPr>
              <w:t xml:space="preserve">soluciones de vivienda </w:t>
            </w:r>
          </w:p>
          <w:p w14:paraId="025D0DD9" w14:textId="4EB892B0" w:rsidR="00FA0245" w:rsidRPr="00170C6F" w:rsidRDefault="00B96E3A" w:rsidP="00B96E3A">
            <w:pPr>
              <w:jc w:val="center"/>
              <w:rPr>
                <w:rFonts w:ascii="Arial" w:hAnsi="Arial" w:cs="Arial"/>
                <w:sz w:val="20"/>
                <w:szCs w:val="20"/>
                <w:lang w:val="es-ES_tradnl"/>
              </w:rPr>
            </w:pPr>
            <w:r w:rsidRPr="00170C6F">
              <w:rPr>
                <w:rFonts w:ascii="Arial" w:hAnsi="Arial" w:cs="Arial"/>
                <w:sz w:val="20"/>
                <w:szCs w:val="20"/>
                <w:lang w:val="es-ES_tradnl"/>
              </w:rPr>
              <w:t>rural</w:t>
            </w:r>
          </w:p>
        </w:tc>
        <w:tc>
          <w:tcPr>
            <w:tcW w:w="1766" w:type="dxa"/>
          </w:tcPr>
          <w:p w14:paraId="2005B178" w14:textId="77777777" w:rsidR="00B96E3A" w:rsidRPr="00170C6F" w:rsidRDefault="00B96E3A" w:rsidP="00B96E3A">
            <w:pPr>
              <w:jc w:val="center"/>
              <w:rPr>
                <w:rFonts w:ascii="Arial" w:hAnsi="Arial" w:cs="Arial"/>
                <w:sz w:val="20"/>
                <w:szCs w:val="20"/>
                <w:lang w:val="es-ES_tradnl"/>
              </w:rPr>
            </w:pPr>
          </w:p>
          <w:p w14:paraId="6A70CEEA" w14:textId="77777777" w:rsidR="00B96E3A" w:rsidRPr="00170C6F" w:rsidRDefault="00B96E3A" w:rsidP="00B96E3A">
            <w:pPr>
              <w:jc w:val="center"/>
              <w:rPr>
                <w:rFonts w:ascii="Arial" w:hAnsi="Arial" w:cs="Arial"/>
                <w:sz w:val="20"/>
                <w:szCs w:val="20"/>
                <w:lang w:val="es-ES_tradnl"/>
              </w:rPr>
            </w:pPr>
          </w:p>
          <w:p w14:paraId="0CE70350" w14:textId="1575FCD2" w:rsidR="00B96E3A" w:rsidRPr="00170C6F" w:rsidRDefault="00B96E3A" w:rsidP="00B96E3A">
            <w:pPr>
              <w:jc w:val="center"/>
              <w:rPr>
                <w:rFonts w:ascii="Arial" w:hAnsi="Arial" w:cs="Arial"/>
                <w:sz w:val="20"/>
                <w:szCs w:val="20"/>
                <w:lang w:val="es-ES_tradnl"/>
              </w:rPr>
            </w:pPr>
            <w:r w:rsidRPr="00170C6F">
              <w:rPr>
                <w:rFonts w:ascii="Arial" w:hAnsi="Arial" w:cs="Arial"/>
                <w:sz w:val="20"/>
                <w:szCs w:val="20"/>
                <w:lang w:val="es-ES_tradnl"/>
              </w:rPr>
              <w:t xml:space="preserve">Subsidios otorgados </w:t>
            </w:r>
          </w:p>
          <w:p w14:paraId="46E8FEB8" w14:textId="1576D900" w:rsidR="00FA0245" w:rsidRPr="00170C6F" w:rsidRDefault="00B96E3A" w:rsidP="00B96E3A">
            <w:pPr>
              <w:jc w:val="center"/>
              <w:rPr>
                <w:rFonts w:ascii="Arial" w:hAnsi="Arial" w:cs="Arial"/>
                <w:sz w:val="20"/>
                <w:szCs w:val="20"/>
                <w:lang w:val="es-ES_tradnl"/>
              </w:rPr>
            </w:pPr>
            <w:r w:rsidRPr="00170C6F">
              <w:rPr>
                <w:rFonts w:ascii="Arial" w:hAnsi="Arial" w:cs="Arial"/>
                <w:sz w:val="20"/>
                <w:szCs w:val="20"/>
                <w:lang w:val="es-ES_tradnl"/>
              </w:rPr>
              <w:t>indexados</w:t>
            </w:r>
          </w:p>
        </w:tc>
        <w:tc>
          <w:tcPr>
            <w:tcW w:w="1766" w:type="dxa"/>
          </w:tcPr>
          <w:p w14:paraId="2A3A59FB" w14:textId="77777777" w:rsidR="00B96E3A" w:rsidRPr="00170C6F" w:rsidRDefault="00B96E3A" w:rsidP="00FA0245">
            <w:pPr>
              <w:jc w:val="center"/>
              <w:rPr>
                <w:rFonts w:ascii="Arial" w:hAnsi="Arial" w:cs="Arial"/>
                <w:sz w:val="20"/>
                <w:szCs w:val="20"/>
                <w:lang w:val="es-ES_tradnl"/>
              </w:rPr>
            </w:pPr>
          </w:p>
          <w:p w14:paraId="1AEE26BC" w14:textId="77777777" w:rsidR="00B96E3A" w:rsidRPr="00170C6F" w:rsidRDefault="00B96E3A" w:rsidP="00FA0245">
            <w:pPr>
              <w:jc w:val="center"/>
              <w:rPr>
                <w:rFonts w:ascii="Arial" w:hAnsi="Arial" w:cs="Arial"/>
                <w:sz w:val="20"/>
                <w:szCs w:val="20"/>
                <w:lang w:val="es-ES_tradnl"/>
              </w:rPr>
            </w:pPr>
          </w:p>
          <w:p w14:paraId="5F042A1D" w14:textId="77777777" w:rsidR="00B96E3A" w:rsidRPr="00170C6F" w:rsidRDefault="00B96E3A" w:rsidP="00FA0245">
            <w:pPr>
              <w:jc w:val="center"/>
              <w:rPr>
                <w:rFonts w:ascii="Arial" w:hAnsi="Arial" w:cs="Arial"/>
                <w:sz w:val="20"/>
                <w:szCs w:val="20"/>
                <w:lang w:val="es-ES_tradnl"/>
              </w:rPr>
            </w:pPr>
          </w:p>
          <w:p w14:paraId="7380BE39" w14:textId="3D50C78C" w:rsidR="00FA0245" w:rsidRPr="00170C6F" w:rsidRDefault="00B96E3A" w:rsidP="00FA0245">
            <w:pPr>
              <w:jc w:val="center"/>
              <w:rPr>
                <w:rFonts w:ascii="Arial" w:hAnsi="Arial" w:cs="Arial"/>
                <w:sz w:val="20"/>
                <w:szCs w:val="20"/>
                <w:lang w:val="es-ES_tradnl"/>
              </w:rPr>
            </w:pPr>
            <w:r w:rsidRPr="00170C6F">
              <w:rPr>
                <w:rFonts w:ascii="Arial" w:hAnsi="Arial" w:cs="Arial"/>
                <w:sz w:val="20"/>
                <w:szCs w:val="20"/>
                <w:lang w:val="es-ES_tradnl"/>
              </w:rPr>
              <w:t>414</w:t>
            </w:r>
          </w:p>
        </w:tc>
        <w:tc>
          <w:tcPr>
            <w:tcW w:w="1766" w:type="dxa"/>
          </w:tcPr>
          <w:p w14:paraId="01411639" w14:textId="77777777" w:rsidR="00B96E3A" w:rsidRPr="00170C6F" w:rsidRDefault="00B96E3A" w:rsidP="00FA0245">
            <w:pPr>
              <w:jc w:val="center"/>
              <w:rPr>
                <w:rFonts w:ascii="Arial" w:hAnsi="Arial" w:cs="Arial"/>
                <w:sz w:val="20"/>
                <w:szCs w:val="20"/>
                <w:lang w:val="es-ES_tradnl"/>
              </w:rPr>
            </w:pPr>
          </w:p>
          <w:p w14:paraId="0CA82521" w14:textId="77777777" w:rsidR="00B96E3A" w:rsidRPr="00170C6F" w:rsidRDefault="00B96E3A" w:rsidP="00FA0245">
            <w:pPr>
              <w:jc w:val="center"/>
              <w:rPr>
                <w:rFonts w:ascii="Arial" w:hAnsi="Arial" w:cs="Arial"/>
                <w:sz w:val="20"/>
                <w:szCs w:val="20"/>
                <w:lang w:val="es-ES_tradnl"/>
              </w:rPr>
            </w:pPr>
          </w:p>
          <w:p w14:paraId="3EF6B269" w14:textId="77777777" w:rsidR="00B96E3A" w:rsidRPr="00170C6F" w:rsidRDefault="00B96E3A" w:rsidP="00FA0245">
            <w:pPr>
              <w:jc w:val="center"/>
              <w:rPr>
                <w:rFonts w:ascii="Arial" w:hAnsi="Arial" w:cs="Arial"/>
                <w:sz w:val="20"/>
                <w:szCs w:val="20"/>
                <w:lang w:val="es-ES_tradnl"/>
              </w:rPr>
            </w:pPr>
          </w:p>
          <w:p w14:paraId="2D0E7856" w14:textId="29A5212E" w:rsidR="00FA0245" w:rsidRPr="00170C6F" w:rsidRDefault="00B96E3A" w:rsidP="00FA0245">
            <w:pPr>
              <w:jc w:val="center"/>
              <w:rPr>
                <w:rFonts w:ascii="Arial" w:hAnsi="Arial" w:cs="Arial"/>
                <w:sz w:val="20"/>
                <w:szCs w:val="20"/>
                <w:lang w:val="es-ES_tradnl"/>
              </w:rPr>
            </w:pPr>
            <w:r w:rsidRPr="00170C6F">
              <w:rPr>
                <w:rFonts w:ascii="Arial" w:hAnsi="Arial" w:cs="Arial"/>
                <w:sz w:val="20"/>
                <w:szCs w:val="20"/>
                <w:lang w:val="es-ES_tradnl"/>
              </w:rPr>
              <w:t>1.365</w:t>
            </w:r>
          </w:p>
        </w:tc>
      </w:tr>
    </w:tbl>
    <w:p w14:paraId="4F7BDD50" w14:textId="77777777" w:rsidR="00B96E3A" w:rsidRDefault="00B96E3A" w:rsidP="00B96E3A">
      <w:pPr>
        <w:pStyle w:val="Descripcin"/>
        <w:spacing w:after="0"/>
        <w:jc w:val="center"/>
        <w:rPr>
          <w:rFonts w:ascii="Arial" w:hAnsi="Arial" w:cs="Arial"/>
          <w:i w:val="0"/>
          <w:iCs w:val="0"/>
          <w:color w:val="000000" w:themeColor="text1"/>
          <w:lang w:val="es-ES_tradnl"/>
        </w:rPr>
      </w:pPr>
      <w:r w:rsidRPr="00CB24C7">
        <w:rPr>
          <w:rFonts w:ascii="Arial" w:hAnsi="Arial" w:cs="Arial"/>
          <w:i w:val="0"/>
          <w:iCs w:val="0"/>
          <w:color w:val="000000" w:themeColor="text1"/>
          <w:lang w:val="es-ES_tradnl"/>
        </w:rPr>
        <w:t>Fuente: DGBPR-MADR</w:t>
      </w:r>
    </w:p>
    <w:p w14:paraId="20A7F57D" w14:textId="77777777" w:rsidR="00AA3F59" w:rsidRDefault="00AA3F59" w:rsidP="00CB24C7">
      <w:pPr>
        <w:jc w:val="both"/>
        <w:rPr>
          <w:rFonts w:ascii="Arial" w:hAnsi="Arial" w:cs="Arial"/>
          <w:sz w:val="22"/>
          <w:szCs w:val="22"/>
          <w:lang w:val="es-ES_tradnl"/>
        </w:rPr>
      </w:pPr>
    </w:p>
    <w:p w14:paraId="46465169" w14:textId="77777777" w:rsidR="006719B5" w:rsidRDefault="00AA3F59" w:rsidP="004C5DC5">
      <w:pPr>
        <w:jc w:val="both"/>
        <w:rPr>
          <w:rFonts w:ascii="Arial" w:hAnsi="Arial" w:cs="Arial"/>
          <w:sz w:val="22"/>
          <w:szCs w:val="22"/>
          <w:lang w:val="es-ES_tradnl"/>
        </w:rPr>
      </w:pPr>
      <w:r w:rsidRPr="00AA3F59">
        <w:rPr>
          <w:rFonts w:ascii="Arial" w:hAnsi="Arial" w:cs="Arial"/>
          <w:sz w:val="22"/>
          <w:szCs w:val="22"/>
          <w:lang w:val="es-ES_tradnl"/>
        </w:rPr>
        <w:t>Se solicita el aumento de la meta del indicador secundario; teniendo en cuenta que, con las gestiones a realizar se indexará 1.365 subsidios a 31 de diciembre de 2025, discriminados así:</w:t>
      </w:r>
      <w:r w:rsidRPr="00AA3F59">
        <w:rPr>
          <w:rFonts w:ascii="Arial" w:hAnsi="Arial" w:cs="Arial"/>
          <w:sz w:val="22"/>
          <w:szCs w:val="22"/>
          <w:lang w:val="es-ES_tradnl"/>
        </w:rPr>
        <w:cr/>
      </w:r>
    </w:p>
    <w:p w14:paraId="1ACC2983" w14:textId="468EEE75" w:rsidR="00EC706E" w:rsidRPr="004C5DC5" w:rsidRDefault="00EC706E" w:rsidP="004C5DC5">
      <w:pPr>
        <w:jc w:val="both"/>
        <w:rPr>
          <w:rFonts w:ascii="Arial" w:hAnsi="Arial" w:cs="Arial"/>
          <w:sz w:val="22"/>
          <w:szCs w:val="22"/>
          <w:lang w:val="es-ES_tradnl"/>
        </w:rPr>
      </w:pPr>
    </w:p>
    <w:p w14:paraId="62231492" w14:textId="742290AB" w:rsidR="00E06E3C" w:rsidRPr="00CB24C7" w:rsidRDefault="00317ECC" w:rsidP="00CB24C7">
      <w:pPr>
        <w:pStyle w:val="Descripcin"/>
        <w:spacing w:after="0"/>
        <w:jc w:val="center"/>
        <w:rPr>
          <w:rFonts w:ascii="Arial" w:hAnsi="Arial" w:cs="Arial"/>
          <w:i w:val="0"/>
          <w:iCs w:val="0"/>
          <w:color w:val="auto"/>
          <w:sz w:val="22"/>
          <w:szCs w:val="22"/>
        </w:rPr>
      </w:pPr>
      <w:bookmarkStart w:id="8" w:name="_Toc102494720"/>
      <w:r w:rsidRPr="00DC697C">
        <w:rPr>
          <w:rFonts w:ascii="Arial" w:hAnsi="Arial" w:cs="Arial"/>
          <w:i w:val="0"/>
          <w:iCs w:val="0"/>
          <w:color w:val="auto"/>
          <w:sz w:val="22"/>
          <w:szCs w:val="22"/>
        </w:rPr>
        <w:t xml:space="preserve">Tabla </w:t>
      </w:r>
      <w:r w:rsidR="00F83C6A">
        <w:rPr>
          <w:rFonts w:ascii="Arial" w:hAnsi="Arial" w:cs="Arial"/>
          <w:i w:val="0"/>
          <w:iCs w:val="0"/>
          <w:color w:val="auto"/>
          <w:sz w:val="22"/>
          <w:szCs w:val="22"/>
        </w:rPr>
        <w:t>2</w:t>
      </w:r>
      <w:r w:rsidR="00661558" w:rsidRPr="00DC697C">
        <w:rPr>
          <w:rFonts w:ascii="Arial" w:hAnsi="Arial" w:cs="Arial"/>
          <w:i w:val="0"/>
          <w:iCs w:val="0"/>
          <w:color w:val="auto"/>
          <w:sz w:val="22"/>
          <w:szCs w:val="22"/>
        </w:rPr>
        <w:t xml:space="preserve"> </w:t>
      </w:r>
      <w:r w:rsidR="00F83C6A">
        <w:rPr>
          <w:rFonts w:ascii="Arial" w:hAnsi="Arial" w:cs="Arial"/>
          <w:i w:val="0"/>
          <w:iCs w:val="0"/>
          <w:color w:val="auto"/>
          <w:sz w:val="22"/>
          <w:szCs w:val="22"/>
        </w:rPr>
        <w:t>Detalle m</w:t>
      </w:r>
      <w:r w:rsidR="00E06E3C" w:rsidRPr="00011F52">
        <w:rPr>
          <w:rFonts w:ascii="Arial" w:hAnsi="Arial" w:cs="Arial"/>
          <w:i w:val="0"/>
          <w:iCs w:val="0"/>
          <w:color w:val="auto"/>
          <w:sz w:val="22"/>
          <w:szCs w:val="22"/>
        </w:rPr>
        <w:t>eta</w:t>
      </w:r>
      <w:bookmarkEnd w:id="8"/>
      <w:r w:rsidR="00DC697C" w:rsidRPr="00011F52">
        <w:rPr>
          <w:rFonts w:ascii="Arial" w:hAnsi="Arial" w:cs="Arial"/>
          <w:i w:val="0"/>
          <w:iCs w:val="0"/>
          <w:color w:val="auto"/>
          <w:sz w:val="22"/>
          <w:szCs w:val="22"/>
        </w:rPr>
        <w:t xml:space="preserve"> 2025</w:t>
      </w:r>
    </w:p>
    <w:tbl>
      <w:tblPr>
        <w:tblStyle w:val="Tablaconcuadrcula"/>
        <w:tblW w:w="0" w:type="auto"/>
        <w:jc w:val="center"/>
        <w:tblLook w:val="04A0" w:firstRow="1" w:lastRow="0" w:firstColumn="1" w:lastColumn="0" w:noHBand="0" w:noVBand="1"/>
      </w:tblPr>
      <w:tblGrid>
        <w:gridCol w:w="4414"/>
        <w:gridCol w:w="4414"/>
      </w:tblGrid>
      <w:tr w:rsidR="008C38ED" w:rsidRPr="00170C6F" w14:paraId="2F772DFF" w14:textId="77777777" w:rsidTr="0041652D">
        <w:trPr>
          <w:jc w:val="center"/>
        </w:trPr>
        <w:tc>
          <w:tcPr>
            <w:tcW w:w="4414" w:type="dxa"/>
          </w:tcPr>
          <w:p w14:paraId="788ECECA" w14:textId="12C950B8" w:rsidR="008C38ED" w:rsidRPr="00170C6F" w:rsidRDefault="00B96E3A" w:rsidP="0041652D">
            <w:pPr>
              <w:jc w:val="center"/>
              <w:rPr>
                <w:rFonts w:ascii="Arial" w:hAnsi="Arial" w:cs="Arial"/>
                <w:b/>
                <w:bCs/>
                <w:sz w:val="22"/>
                <w:szCs w:val="22"/>
                <w:lang w:val="es-ES_tradnl"/>
              </w:rPr>
            </w:pPr>
            <w:r w:rsidRPr="00170C6F">
              <w:rPr>
                <w:rFonts w:ascii="Arial" w:hAnsi="Arial" w:cs="Arial"/>
                <w:b/>
                <w:bCs/>
                <w:sz w:val="22"/>
                <w:szCs w:val="22"/>
                <w:lang w:val="es-ES_tradnl"/>
              </w:rPr>
              <w:t>Operador</w:t>
            </w:r>
          </w:p>
        </w:tc>
        <w:tc>
          <w:tcPr>
            <w:tcW w:w="4414" w:type="dxa"/>
          </w:tcPr>
          <w:p w14:paraId="19A0234E" w14:textId="0582FF57" w:rsidR="008C38ED" w:rsidRPr="00170C6F" w:rsidRDefault="00B96E3A" w:rsidP="0041652D">
            <w:pPr>
              <w:jc w:val="center"/>
              <w:rPr>
                <w:rFonts w:ascii="Arial" w:hAnsi="Arial" w:cs="Arial"/>
                <w:b/>
                <w:bCs/>
                <w:sz w:val="22"/>
                <w:szCs w:val="22"/>
                <w:lang w:val="es-ES_tradnl"/>
              </w:rPr>
            </w:pPr>
            <w:proofErr w:type="spellStart"/>
            <w:r w:rsidRPr="00170C6F">
              <w:rPr>
                <w:rFonts w:ascii="Arial" w:hAnsi="Arial" w:cs="Arial"/>
                <w:b/>
                <w:bCs/>
                <w:sz w:val="22"/>
                <w:szCs w:val="22"/>
                <w:lang w:val="es-ES_tradnl"/>
              </w:rPr>
              <w:t>N°</w:t>
            </w:r>
            <w:proofErr w:type="spellEnd"/>
            <w:r w:rsidRPr="00170C6F">
              <w:rPr>
                <w:rFonts w:ascii="Arial" w:hAnsi="Arial" w:cs="Arial"/>
                <w:b/>
                <w:bCs/>
                <w:sz w:val="22"/>
                <w:szCs w:val="22"/>
                <w:lang w:val="es-ES_tradnl"/>
              </w:rPr>
              <w:t xml:space="preserve"> subsidio</w:t>
            </w:r>
          </w:p>
        </w:tc>
      </w:tr>
      <w:tr w:rsidR="008C38ED" w:rsidRPr="00170C6F" w14:paraId="76337591" w14:textId="77777777" w:rsidTr="0041652D">
        <w:trPr>
          <w:jc w:val="center"/>
        </w:trPr>
        <w:tc>
          <w:tcPr>
            <w:tcW w:w="4414" w:type="dxa"/>
          </w:tcPr>
          <w:p w14:paraId="0A2C4E21" w14:textId="7DC97419" w:rsidR="008C38ED" w:rsidRPr="00170C6F" w:rsidRDefault="00F37166" w:rsidP="0041652D">
            <w:pPr>
              <w:jc w:val="center"/>
              <w:rPr>
                <w:rFonts w:ascii="Arial" w:hAnsi="Arial" w:cs="Arial"/>
                <w:sz w:val="22"/>
                <w:szCs w:val="22"/>
                <w:lang w:val="es-ES_tradnl"/>
              </w:rPr>
            </w:pPr>
            <w:proofErr w:type="spellStart"/>
            <w:r w:rsidRPr="00170C6F">
              <w:rPr>
                <w:rFonts w:ascii="Arial" w:hAnsi="Arial" w:cs="Arial"/>
                <w:sz w:val="22"/>
                <w:szCs w:val="22"/>
                <w:lang w:val="es-ES_tradnl"/>
              </w:rPr>
              <w:t>Fiduagraria</w:t>
            </w:r>
            <w:proofErr w:type="spellEnd"/>
          </w:p>
        </w:tc>
        <w:tc>
          <w:tcPr>
            <w:tcW w:w="4414" w:type="dxa"/>
          </w:tcPr>
          <w:p w14:paraId="60BE0E32" w14:textId="1D666ADC" w:rsidR="008C38ED" w:rsidRPr="00170C6F" w:rsidRDefault="008C38ED" w:rsidP="0041652D">
            <w:pPr>
              <w:jc w:val="center"/>
              <w:rPr>
                <w:rFonts w:ascii="Arial" w:hAnsi="Arial" w:cs="Arial"/>
                <w:sz w:val="22"/>
                <w:szCs w:val="22"/>
                <w:lang w:val="es-ES_tradnl"/>
              </w:rPr>
            </w:pPr>
            <w:r w:rsidRPr="00170C6F">
              <w:rPr>
                <w:rFonts w:ascii="Arial" w:hAnsi="Arial" w:cs="Arial"/>
                <w:sz w:val="22"/>
                <w:szCs w:val="22"/>
                <w:lang w:val="es-ES_tradnl"/>
              </w:rPr>
              <w:t>190</w:t>
            </w:r>
          </w:p>
        </w:tc>
      </w:tr>
      <w:tr w:rsidR="008C38ED" w:rsidRPr="00170C6F" w14:paraId="5710ADF8" w14:textId="77777777" w:rsidTr="0041652D">
        <w:trPr>
          <w:jc w:val="center"/>
        </w:trPr>
        <w:tc>
          <w:tcPr>
            <w:tcW w:w="4414" w:type="dxa"/>
          </w:tcPr>
          <w:p w14:paraId="2F3240F9" w14:textId="64B78464" w:rsidR="008C38ED" w:rsidRPr="00170C6F" w:rsidRDefault="00F37166" w:rsidP="0041652D">
            <w:pPr>
              <w:jc w:val="center"/>
              <w:rPr>
                <w:rFonts w:ascii="Arial" w:hAnsi="Arial" w:cs="Arial"/>
                <w:sz w:val="22"/>
                <w:szCs w:val="22"/>
                <w:lang w:val="es-ES_tradnl"/>
              </w:rPr>
            </w:pPr>
            <w:r w:rsidRPr="00170C6F">
              <w:rPr>
                <w:rFonts w:ascii="Arial" w:hAnsi="Arial" w:cs="Arial"/>
                <w:sz w:val="22"/>
                <w:szCs w:val="22"/>
                <w:lang w:val="es-ES_tradnl"/>
              </w:rPr>
              <w:t>Banco Agrario</w:t>
            </w:r>
          </w:p>
        </w:tc>
        <w:tc>
          <w:tcPr>
            <w:tcW w:w="4414" w:type="dxa"/>
          </w:tcPr>
          <w:p w14:paraId="35F36FB1" w14:textId="68DF3298" w:rsidR="008C38ED" w:rsidRPr="00170C6F" w:rsidRDefault="008C38ED" w:rsidP="0041652D">
            <w:pPr>
              <w:jc w:val="center"/>
              <w:rPr>
                <w:rFonts w:ascii="Arial" w:hAnsi="Arial" w:cs="Arial"/>
                <w:sz w:val="22"/>
                <w:szCs w:val="22"/>
                <w:lang w:val="es-ES_tradnl"/>
              </w:rPr>
            </w:pPr>
            <w:r w:rsidRPr="00170C6F">
              <w:rPr>
                <w:rFonts w:ascii="Arial" w:hAnsi="Arial" w:cs="Arial"/>
                <w:sz w:val="22"/>
                <w:szCs w:val="22"/>
                <w:lang w:val="es-ES_tradnl"/>
              </w:rPr>
              <w:t>1.115</w:t>
            </w:r>
          </w:p>
        </w:tc>
      </w:tr>
      <w:tr w:rsidR="008C38ED" w:rsidRPr="00170C6F" w14:paraId="026E70F3" w14:textId="77777777" w:rsidTr="0041652D">
        <w:trPr>
          <w:jc w:val="center"/>
        </w:trPr>
        <w:tc>
          <w:tcPr>
            <w:tcW w:w="4414" w:type="dxa"/>
          </w:tcPr>
          <w:p w14:paraId="16C26835" w14:textId="330AA928" w:rsidR="008C38ED" w:rsidRPr="00170C6F" w:rsidRDefault="00F37166" w:rsidP="0041652D">
            <w:pPr>
              <w:jc w:val="center"/>
              <w:rPr>
                <w:rFonts w:ascii="Arial" w:hAnsi="Arial" w:cs="Arial"/>
                <w:sz w:val="22"/>
                <w:szCs w:val="22"/>
                <w:lang w:val="es-ES_tradnl"/>
              </w:rPr>
            </w:pPr>
            <w:r w:rsidRPr="00170C6F">
              <w:rPr>
                <w:rFonts w:ascii="Arial" w:hAnsi="Arial" w:cs="Arial"/>
                <w:sz w:val="22"/>
                <w:szCs w:val="22"/>
                <w:lang w:val="es-ES_tradnl"/>
              </w:rPr>
              <w:t>Autogestión</w:t>
            </w:r>
          </w:p>
        </w:tc>
        <w:tc>
          <w:tcPr>
            <w:tcW w:w="4414" w:type="dxa"/>
          </w:tcPr>
          <w:p w14:paraId="3B2480D0" w14:textId="31CF23B6" w:rsidR="008C38ED" w:rsidRPr="00170C6F" w:rsidRDefault="008C38ED" w:rsidP="0041652D">
            <w:pPr>
              <w:jc w:val="center"/>
              <w:rPr>
                <w:rFonts w:ascii="Arial" w:hAnsi="Arial" w:cs="Arial"/>
                <w:sz w:val="22"/>
                <w:szCs w:val="22"/>
                <w:lang w:val="es-ES_tradnl"/>
              </w:rPr>
            </w:pPr>
            <w:r w:rsidRPr="00170C6F">
              <w:rPr>
                <w:rFonts w:ascii="Arial" w:hAnsi="Arial" w:cs="Arial"/>
                <w:sz w:val="22"/>
                <w:szCs w:val="22"/>
                <w:lang w:val="es-ES_tradnl"/>
              </w:rPr>
              <w:t>60</w:t>
            </w:r>
          </w:p>
        </w:tc>
      </w:tr>
      <w:tr w:rsidR="002023FB" w:rsidRPr="00170C6F" w14:paraId="0BD489E2" w14:textId="77777777" w:rsidTr="0041652D">
        <w:trPr>
          <w:jc w:val="center"/>
        </w:trPr>
        <w:tc>
          <w:tcPr>
            <w:tcW w:w="4414" w:type="dxa"/>
          </w:tcPr>
          <w:p w14:paraId="6546C99A" w14:textId="448669F0" w:rsidR="002023FB" w:rsidRPr="00170C6F" w:rsidRDefault="00F37166" w:rsidP="0041652D">
            <w:pPr>
              <w:jc w:val="center"/>
              <w:rPr>
                <w:rFonts w:ascii="Arial" w:hAnsi="Arial" w:cs="Arial"/>
                <w:b/>
                <w:bCs/>
                <w:sz w:val="22"/>
                <w:szCs w:val="22"/>
                <w:lang w:val="es-ES_tradnl"/>
              </w:rPr>
            </w:pPr>
            <w:r w:rsidRPr="00170C6F">
              <w:rPr>
                <w:rFonts w:ascii="Arial" w:hAnsi="Arial" w:cs="Arial"/>
                <w:b/>
                <w:bCs/>
                <w:sz w:val="22"/>
                <w:szCs w:val="22"/>
                <w:lang w:val="es-ES_tradnl"/>
              </w:rPr>
              <w:t>Total</w:t>
            </w:r>
          </w:p>
        </w:tc>
        <w:tc>
          <w:tcPr>
            <w:tcW w:w="4414" w:type="dxa"/>
          </w:tcPr>
          <w:p w14:paraId="67B0FC86" w14:textId="0BA491B9" w:rsidR="002023FB" w:rsidRPr="00170C6F" w:rsidRDefault="002023FB" w:rsidP="0041652D">
            <w:pPr>
              <w:jc w:val="center"/>
              <w:rPr>
                <w:rFonts w:ascii="Arial" w:hAnsi="Arial" w:cs="Arial"/>
                <w:b/>
                <w:bCs/>
                <w:sz w:val="22"/>
                <w:szCs w:val="22"/>
                <w:lang w:val="es-ES_tradnl"/>
              </w:rPr>
            </w:pPr>
            <w:r w:rsidRPr="00170C6F">
              <w:rPr>
                <w:rFonts w:ascii="Arial" w:hAnsi="Arial" w:cs="Arial"/>
                <w:b/>
                <w:bCs/>
                <w:sz w:val="22"/>
                <w:szCs w:val="22"/>
                <w:lang w:val="es-ES_tradnl"/>
              </w:rPr>
              <w:t>1.365</w:t>
            </w:r>
          </w:p>
        </w:tc>
      </w:tr>
    </w:tbl>
    <w:p w14:paraId="67DC08C5" w14:textId="77777777" w:rsidR="00771480" w:rsidRPr="0096535F" w:rsidRDefault="00771480" w:rsidP="0096535F">
      <w:pPr>
        <w:jc w:val="both"/>
        <w:rPr>
          <w:rFonts w:ascii="Arial" w:hAnsi="Arial" w:cs="Arial"/>
          <w:lang w:val="es-ES_tradnl"/>
        </w:rPr>
      </w:pPr>
    </w:p>
    <w:p w14:paraId="57147C22" w14:textId="77777777" w:rsidR="00EC706E" w:rsidRDefault="00EC706E" w:rsidP="0096535F">
      <w:pPr>
        <w:jc w:val="both"/>
        <w:rPr>
          <w:rFonts w:ascii="Arial" w:hAnsi="Arial" w:cs="Arial"/>
          <w:sz w:val="22"/>
          <w:szCs w:val="22"/>
        </w:rPr>
      </w:pPr>
    </w:p>
    <w:p w14:paraId="5A9EA137" w14:textId="77777777" w:rsidR="00EC706E" w:rsidRDefault="00EC706E" w:rsidP="0096535F">
      <w:pPr>
        <w:jc w:val="both"/>
        <w:rPr>
          <w:rFonts w:ascii="Arial" w:hAnsi="Arial" w:cs="Arial"/>
          <w:sz w:val="22"/>
          <w:szCs w:val="22"/>
        </w:rPr>
      </w:pPr>
    </w:p>
    <w:p w14:paraId="75E28B5F" w14:textId="77777777" w:rsidR="00EC706E" w:rsidRDefault="00EC706E" w:rsidP="0096535F">
      <w:pPr>
        <w:jc w:val="both"/>
        <w:rPr>
          <w:rFonts w:ascii="Arial" w:hAnsi="Arial" w:cs="Arial"/>
          <w:sz w:val="22"/>
          <w:szCs w:val="22"/>
        </w:rPr>
      </w:pPr>
    </w:p>
    <w:p w14:paraId="235ABF0B" w14:textId="3FC72CF5" w:rsidR="00A40CA7" w:rsidRPr="00EC706E" w:rsidRDefault="00231AD4" w:rsidP="0096535F">
      <w:pPr>
        <w:jc w:val="both"/>
        <w:rPr>
          <w:rFonts w:ascii="Arial" w:hAnsi="Arial" w:cs="Arial"/>
          <w:sz w:val="22"/>
          <w:szCs w:val="22"/>
          <w:lang w:val="es-ES_tradnl"/>
        </w:rPr>
      </w:pPr>
      <w:r w:rsidRPr="00EC706E">
        <w:rPr>
          <w:rFonts w:ascii="Arial" w:hAnsi="Arial" w:cs="Arial"/>
          <w:sz w:val="22"/>
          <w:szCs w:val="22"/>
        </w:rPr>
        <w:lastRenderedPageBreak/>
        <w:t>Teniendo en cuenta que la meta horizonte del proyecto es de 48.382 subsidios otorgados indexados, se solicita la modificación de la meta de la vigencia 2032 de 5.901 a 11.066; ya que el aumento realizado en la vigencia 2025 se disminuye para la vigencia 2032; cabe señalar que, no se modifica el presupuesto 2032 teniendo en cuenta que hasta que no se tenga una certeza de la asignación presupuestal para esa vigencia, no se evidencia la necesidad de modificar el presupuesto total del proyecto, y sigue siendo un estimado de acuerdo con la formulación del proyecto de inversión</w:t>
      </w:r>
      <w:r w:rsidR="0096535F" w:rsidRPr="00EC706E">
        <w:rPr>
          <w:rFonts w:ascii="Arial" w:hAnsi="Arial" w:cs="Arial"/>
          <w:sz w:val="22"/>
          <w:szCs w:val="22"/>
          <w:lang w:val="es-ES_tradnl"/>
        </w:rPr>
        <w:t>.</w:t>
      </w:r>
      <w:r w:rsidR="00F37166" w:rsidRPr="00EC706E">
        <w:rPr>
          <w:rFonts w:ascii="Arial" w:hAnsi="Arial" w:cs="Arial"/>
          <w:sz w:val="22"/>
          <w:szCs w:val="22"/>
          <w:lang w:val="es-ES_tradnl"/>
        </w:rPr>
        <w:t xml:space="preserve"> </w:t>
      </w:r>
      <w:r w:rsidR="00F37166" w:rsidRPr="00EC706E">
        <w:rPr>
          <w:rStyle w:val="Refdenotaalpie"/>
          <w:rFonts w:ascii="Arial" w:hAnsi="Arial" w:cs="Arial"/>
          <w:sz w:val="22"/>
          <w:szCs w:val="22"/>
          <w:lang w:val="es-ES_tradnl"/>
        </w:rPr>
        <w:footnoteReference w:id="2"/>
      </w:r>
    </w:p>
    <w:p w14:paraId="585A4D61" w14:textId="7E7AED71" w:rsidR="00A40CA7" w:rsidRPr="00EC706E" w:rsidRDefault="00A40CA7" w:rsidP="0096535F">
      <w:pPr>
        <w:jc w:val="both"/>
        <w:rPr>
          <w:rFonts w:ascii="Arial" w:hAnsi="Arial" w:cs="Arial"/>
          <w:sz w:val="22"/>
          <w:szCs w:val="22"/>
          <w:lang w:val="es-ES_tradnl"/>
        </w:rPr>
      </w:pPr>
    </w:p>
    <w:p w14:paraId="2F9619B1" w14:textId="0F5FCACB" w:rsidR="00451F05" w:rsidRPr="00EC706E" w:rsidRDefault="003053E9" w:rsidP="0077344D">
      <w:pPr>
        <w:jc w:val="both"/>
        <w:rPr>
          <w:rFonts w:ascii="Arial" w:hAnsi="Arial" w:cs="Arial"/>
          <w:sz w:val="22"/>
          <w:szCs w:val="22"/>
          <w:lang w:val="es-ES_tradnl"/>
        </w:rPr>
      </w:pPr>
      <w:r w:rsidRPr="00EC706E">
        <w:rPr>
          <w:rFonts w:ascii="Arial" w:hAnsi="Arial" w:cs="Arial"/>
          <w:sz w:val="22"/>
          <w:szCs w:val="22"/>
          <w:lang w:val="es-ES_tradnl"/>
        </w:rPr>
        <w:t xml:space="preserve">Ahora bien, </w:t>
      </w:r>
      <w:r w:rsidR="008A0357" w:rsidRPr="00EC706E">
        <w:rPr>
          <w:rFonts w:ascii="Arial" w:hAnsi="Arial" w:cs="Arial"/>
          <w:sz w:val="22"/>
          <w:szCs w:val="22"/>
          <w:lang w:val="es-ES_tradnl"/>
        </w:rPr>
        <w:t>se contempla como parte de la identificación de metas, las que corresponden a la materialización de subsidios otorgados por parte del Banco Agrario de Colombi</w:t>
      </w:r>
      <w:r w:rsidR="00252AA6" w:rsidRPr="00EC706E">
        <w:rPr>
          <w:rFonts w:ascii="Arial" w:hAnsi="Arial" w:cs="Arial"/>
          <w:sz w:val="22"/>
          <w:szCs w:val="22"/>
          <w:lang w:val="es-ES_tradnl"/>
        </w:rPr>
        <w:t>a S.A.</w:t>
      </w:r>
      <w:r w:rsidR="008A0357" w:rsidRPr="00EC706E">
        <w:rPr>
          <w:rFonts w:ascii="Arial" w:hAnsi="Arial" w:cs="Arial"/>
          <w:sz w:val="22"/>
          <w:szCs w:val="22"/>
          <w:lang w:val="es-ES_tradnl"/>
        </w:rPr>
        <w:t>, en adelante BAC</w:t>
      </w:r>
      <w:bookmarkStart w:id="9" w:name="_Toc98512488"/>
      <w:bookmarkStart w:id="10" w:name="_Toc102506202"/>
      <w:r w:rsidR="00252AA6" w:rsidRPr="00EC706E">
        <w:rPr>
          <w:rFonts w:ascii="Arial" w:hAnsi="Arial" w:cs="Arial"/>
          <w:sz w:val="22"/>
          <w:szCs w:val="22"/>
          <w:lang w:val="es-ES_tradnl"/>
        </w:rPr>
        <w:t xml:space="preserve">, </w:t>
      </w:r>
      <w:r w:rsidR="00BD0894" w:rsidRPr="00EC706E">
        <w:rPr>
          <w:rFonts w:ascii="Arial" w:hAnsi="Arial" w:cs="Arial"/>
          <w:sz w:val="22"/>
          <w:szCs w:val="22"/>
          <w:lang w:val="es-ES_tradnl"/>
        </w:rPr>
        <w:t xml:space="preserve">pues corresponde a esta cartera ministerial realizar continuo seguimiento, no solo al trámite dado a los recursos indexados sino también a la materialización anual, esta entidad </w:t>
      </w:r>
      <w:proofErr w:type="spellStart"/>
      <w:r w:rsidR="00E0311B" w:rsidRPr="00EC706E">
        <w:rPr>
          <w:rFonts w:ascii="Arial" w:hAnsi="Arial" w:cs="Arial"/>
          <w:sz w:val="22"/>
          <w:szCs w:val="22"/>
          <w:lang w:val="es-ES_tradnl"/>
        </w:rPr>
        <w:t>f</w:t>
      </w:r>
      <w:r w:rsidR="00252AA6" w:rsidRPr="00EC706E">
        <w:rPr>
          <w:rFonts w:ascii="Arial" w:hAnsi="Arial" w:cs="Arial"/>
          <w:sz w:val="22"/>
          <w:szCs w:val="22"/>
          <w:lang w:val="es-ES_tradnl"/>
        </w:rPr>
        <w:t>que</w:t>
      </w:r>
      <w:proofErr w:type="spellEnd"/>
      <w:r w:rsidR="00252AA6" w:rsidRPr="00EC706E">
        <w:rPr>
          <w:rFonts w:ascii="Arial" w:hAnsi="Arial" w:cs="Arial"/>
          <w:sz w:val="22"/>
          <w:szCs w:val="22"/>
          <w:lang w:val="es-ES_tradnl"/>
        </w:rPr>
        <w:t xml:space="preserve"> </w:t>
      </w:r>
      <w:r w:rsidR="0077344D" w:rsidRPr="00EC706E">
        <w:rPr>
          <w:rFonts w:ascii="Arial" w:hAnsi="Arial" w:cs="Arial"/>
          <w:sz w:val="22"/>
          <w:szCs w:val="22"/>
          <w:lang w:val="es-ES_tradnl"/>
        </w:rPr>
        <w:t xml:space="preserve">a corte </w:t>
      </w:r>
      <w:r w:rsidR="00192C08" w:rsidRPr="00EC706E">
        <w:rPr>
          <w:rFonts w:ascii="Arial" w:hAnsi="Arial" w:cs="Arial"/>
          <w:sz w:val="22"/>
          <w:szCs w:val="22"/>
          <w:lang w:val="es-ES_tradnl"/>
        </w:rPr>
        <w:t>31 de diciembre de 2025</w:t>
      </w:r>
      <w:r w:rsidR="000E3CD2" w:rsidRPr="00EC706E">
        <w:rPr>
          <w:rFonts w:ascii="Arial" w:hAnsi="Arial" w:cs="Arial"/>
          <w:sz w:val="22"/>
          <w:szCs w:val="22"/>
          <w:lang w:val="es-ES_tradnl"/>
        </w:rPr>
        <w:t xml:space="preserve"> present</w:t>
      </w:r>
      <w:r w:rsidR="00252AA6" w:rsidRPr="00EC706E">
        <w:rPr>
          <w:rFonts w:ascii="Arial" w:hAnsi="Arial" w:cs="Arial"/>
          <w:sz w:val="22"/>
          <w:szCs w:val="22"/>
          <w:lang w:val="es-ES_tradnl"/>
        </w:rPr>
        <w:t xml:space="preserve">ó </w:t>
      </w:r>
      <w:r w:rsidR="00451F05" w:rsidRPr="00EC706E">
        <w:rPr>
          <w:rFonts w:ascii="Arial" w:hAnsi="Arial" w:cs="Arial"/>
          <w:sz w:val="22"/>
          <w:szCs w:val="22"/>
          <w:lang w:val="es-ES_tradnl"/>
        </w:rPr>
        <w:t>como meta</w:t>
      </w:r>
      <w:r w:rsidR="00192C08" w:rsidRPr="00EC706E">
        <w:rPr>
          <w:rFonts w:ascii="Arial" w:hAnsi="Arial" w:cs="Arial"/>
          <w:sz w:val="22"/>
          <w:szCs w:val="22"/>
          <w:lang w:val="es-ES_tradnl"/>
        </w:rPr>
        <w:t xml:space="preserve"> </w:t>
      </w:r>
      <w:r w:rsidR="000E3CD2" w:rsidRPr="00EC706E">
        <w:rPr>
          <w:rFonts w:ascii="Arial" w:hAnsi="Arial" w:cs="Arial"/>
          <w:sz w:val="22"/>
          <w:szCs w:val="22"/>
          <w:lang w:val="es-ES_tradnl"/>
        </w:rPr>
        <w:t>1616 subsidios</w:t>
      </w:r>
      <w:r w:rsidR="00451F05" w:rsidRPr="00EC706E">
        <w:rPr>
          <w:rFonts w:ascii="Arial" w:hAnsi="Arial" w:cs="Arial"/>
          <w:sz w:val="22"/>
          <w:szCs w:val="22"/>
          <w:lang w:val="es-ES_tradnl"/>
        </w:rPr>
        <w:t xml:space="preserve">. </w:t>
      </w:r>
    </w:p>
    <w:p w14:paraId="3D2D463D" w14:textId="77777777" w:rsidR="0017217B" w:rsidRDefault="0017217B" w:rsidP="0077344D">
      <w:pPr>
        <w:jc w:val="both"/>
        <w:rPr>
          <w:rFonts w:ascii="Arial" w:hAnsi="Arial" w:cs="Arial"/>
          <w:color w:val="EE0000"/>
          <w:sz w:val="22"/>
          <w:szCs w:val="22"/>
          <w:lang w:val="es-ES_tradnl"/>
        </w:rPr>
      </w:pPr>
    </w:p>
    <w:p w14:paraId="209649CD" w14:textId="0F409F55" w:rsidR="00451F05" w:rsidRPr="0017217B" w:rsidRDefault="0017217B" w:rsidP="0077344D">
      <w:pPr>
        <w:jc w:val="both"/>
        <w:rPr>
          <w:rFonts w:ascii="Arial" w:hAnsi="Arial" w:cs="Arial"/>
          <w:color w:val="EE0000"/>
          <w:sz w:val="22"/>
          <w:szCs w:val="22"/>
          <w:lang w:val="es-ES_tradnl"/>
        </w:rPr>
      </w:pPr>
      <w:r w:rsidRPr="0017217B">
        <w:rPr>
          <w:rFonts w:ascii="Arial" w:hAnsi="Arial" w:cs="Arial"/>
          <w:color w:val="EE0000"/>
          <w:sz w:val="22"/>
          <w:szCs w:val="22"/>
          <w:lang w:val="es-ES_tradnl"/>
        </w:rPr>
        <w:t>CATALINA</w:t>
      </w:r>
    </w:p>
    <w:p w14:paraId="02BF4B4E" w14:textId="3091BC79" w:rsidR="000552DB" w:rsidRPr="00EC706E" w:rsidRDefault="00451F05" w:rsidP="0077344D">
      <w:pPr>
        <w:jc w:val="both"/>
        <w:rPr>
          <w:rFonts w:ascii="Arial" w:hAnsi="Arial" w:cs="Arial"/>
          <w:sz w:val="22"/>
          <w:szCs w:val="22"/>
          <w:lang w:val="es-ES_tradnl"/>
        </w:rPr>
      </w:pPr>
      <w:r w:rsidRPr="00EC706E">
        <w:rPr>
          <w:rFonts w:ascii="Arial" w:hAnsi="Arial" w:cs="Arial"/>
          <w:sz w:val="22"/>
          <w:szCs w:val="22"/>
          <w:lang w:val="es-ES_tradnl"/>
        </w:rPr>
        <w:t xml:space="preserve">Esta cantidad de subsidios (1616) fueron programados inicialmente con algunas propuestas de modificación a lo largo del </w:t>
      </w:r>
      <w:commentRangeStart w:id="11"/>
      <w:r w:rsidRPr="00EC706E">
        <w:rPr>
          <w:rFonts w:ascii="Arial" w:hAnsi="Arial" w:cs="Arial"/>
          <w:sz w:val="22"/>
          <w:szCs w:val="22"/>
          <w:lang w:val="es-ES_tradnl"/>
        </w:rPr>
        <w:t>2025</w:t>
      </w:r>
      <w:commentRangeEnd w:id="11"/>
      <w:r w:rsidR="0017217B" w:rsidRPr="00EC706E">
        <w:rPr>
          <w:rStyle w:val="Refdecomentario"/>
          <w:rFonts w:ascii="Arial" w:hAnsi="Arial" w:cs="Arial"/>
          <w:sz w:val="22"/>
          <w:szCs w:val="22"/>
          <w:lang w:val="es-ES_tradnl"/>
        </w:rPr>
        <w:commentReference w:id="11"/>
      </w:r>
      <w:r w:rsidRPr="00EC706E">
        <w:rPr>
          <w:rFonts w:ascii="Arial" w:hAnsi="Arial" w:cs="Arial"/>
          <w:sz w:val="22"/>
          <w:szCs w:val="22"/>
          <w:lang w:val="es-ES_tradnl"/>
        </w:rPr>
        <w:t xml:space="preserve">, sin embargo como quiera </w:t>
      </w:r>
      <w:r w:rsidR="000E3CD2" w:rsidRPr="00EC706E">
        <w:rPr>
          <w:rFonts w:ascii="Arial" w:hAnsi="Arial" w:cs="Arial"/>
          <w:sz w:val="22"/>
          <w:szCs w:val="22"/>
          <w:lang w:val="es-ES_tradnl"/>
        </w:rPr>
        <w:t>inicial</w:t>
      </w:r>
      <w:r w:rsidR="00192C08" w:rsidRPr="00EC706E">
        <w:rPr>
          <w:rFonts w:ascii="Arial" w:hAnsi="Arial" w:cs="Arial"/>
          <w:sz w:val="22"/>
          <w:szCs w:val="22"/>
          <w:lang w:val="es-ES_tradnl"/>
        </w:rPr>
        <w:t>mente programados</w:t>
      </w:r>
      <w:r w:rsidR="00D555F8" w:rsidRPr="00EC706E">
        <w:rPr>
          <w:rFonts w:ascii="Arial" w:hAnsi="Arial" w:cs="Arial"/>
          <w:sz w:val="22"/>
          <w:szCs w:val="22"/>
          <w:lang w:val="es-ES_tradnl"/>
        </w:rPr>
        <w:t xml:space="preserve">, </w:t>
      </w:r>
      <w:r w:rsidR="005476C4" w:rsidRPr="00EC706E">
        <w:rPr>
          <w:rFonts w:ascii="Arial" w:hAnsi="Arial" w:cs="Arial"/>
          <w:sz w:val="22"/>
          <w:szCs w:val="22"/>
          <w:lang w:val="es-ES_tradnl"/>
        </w:rPr>
        <w:t xml:space="preserve">en espera </w:t>
      </w:r>
      <w:r w:rsidR="00EF4739" w:rsidRPr="00EC706E">
        <w:rPr>
          <w:rFonts w:ascii="Arial" w:hAnsi="Arial" w:cs="Arial"/>
          <w:sz w:val="22"/>
          <w:szCs w:val="22"/>
          <w:lang w:val="es-ES_tradnl"/>
        </w:rPr>
        <w:t xml:space="preserve">del resultado de la auditoría contratada con el Consorcio </w:t>
      </w:r>
      <w:proofErr w:type="spellStart"/>
      <w:r w:rsidR="00EF4739" w:rsidRPr="00EC706E">
        <w:rPr>
          <w:rFonts w:ascii="Arial" w:hAnsi="Arial" w:cs="Arial"/>
          <w:sz w:val="22"/>
          <w:szCs w:val="22"/>
          <w:lang w:val="es-ES_tradnl"/>
        </w:rPr>
        <w:t>Audiviv</w:t>
      </w:r>
      <w:proofErr w:type="spellEnd"/>
      <w:r w:rsidR="009728D2" w:rsidRPr="00EC706E">
        <w:rPr>
          <w:rFonts w:ascii="Arial" w:hAnsi="Arial" w:cs="Arial"/>
          <w:sz w:val="22"/>
          <w:szCs w:val="22"/>
          <w:lang w:val="es-ES_tradnl"/>
        </w:rPr>
        <w:t xml:space="preserve">, </w:t>
      </w:r>
      <w:r w:rsidR="00505D91" w:rsidRPr="00EC706E">
        <w:rPr>
          <w:rFonts w:ascii="Arial" w:hAnsi="Arial" w:cs="Arial"/>
          <w:sz w:val="22"/>
          <w:szCs w:val="22"/>
          <w:lang w:val="es-ES_tradnl"/>
        </w:rPr>
        <w:t>el cual determinará el estado del programa y la verificación de la indexación o cierre financiero aplicable</w:t>
      </w:r>
      <w:r w:rsidR="009728D2" w:rsidRPr="00EC706E">
        <w:rPr>
          <w:rFonts w:ascii="Arial" w:hAnsi="Arial" w:cs="Arial"/>
          <w:sz w:val="22"/>
          <w:szCs w:val="22"/>
          <w:lang w:val="es-ES_tradnl"/>
        </w:rPr>
        <w:t>, lo cual permitirá la adopción de nuev</w:t>
      </w:r>
      <w:r w:rsidR="00D24BDE" w:rsidRPr="00EC706E">
        <w:rPr>
          <w:rFonts w:ascii="Arial" w:hAnsi="Arial" w:cs="Arial"/>
          <w:sz w:val="22"/>
          <w:szCs w:val="22"/>
          <w:lang w:val="es-ES_tradnl"/>
        </w:rPr>
        <w:t>a</w:t>
      </w:r>
      <w:r w:rsidR="009728D2" w:rsidRPr="00EC706E">
        <w:rPr>
          <w:rFonts w:ascii="Arial" w:hAnsi="Arial" w:cs="Arial"/>
          <w:sz w:val="22"/>
          <w:szCs w:val="22"/>
          <w:lang w:val="es-ES_tradnl"/>
        </w:rPr>
        <w:t xml:space="preserve">s </w:t>
      </w:r>
      <w:r w:rsidR="00D24BDE" w:rsidRPr="00EC706E">
        <w:rPr>
          <w:rFonts w:ascii="Arial" w:hAnsi="Arial" w:cs="Arial"/>
          <w:sz w:val="22"/>
          <w:szCs w:val="22"/>
          <w:lang w:val="es-ES_tradnl"/>
        </w:rPr>
        <w:t>decisiones administrativas para avanzar en el programa;</w:t>
      </w:r>
      <w:r w:rsidR="00505D91" w:rsidRPr="00EC706E">
        <w:rPr>
          <w:rFonts w:ascii="Arial" w:hAnsi="Arial" w:cs="Arial"/>
          <w:sz w:val="22"/>
          <w:szCs w:val="22"/>
          <w:lang w:val="es-ES_tradnl"/>
        </w:rPr>
        <w:t xml:space="preserve"> en esa medida se mantiene</w:t>
      </w:r>
      <w:r w:rsidR="000552DB" w:rsidRPr="00EC706E">
        <w:rPr>
          <w:rFonts w:ascii="Arial" w:hAnsi="Arial" w:cs="Arial"/>
          <w:sz w:val="22"/>
          <w:szCs w:val="22"/>
          <w:lang w:val="es-ES_tradnl"/>
        </w:rPr>
        <w:t xml:space="preserve"> la meta inicial, así: </w:t>
      </w:r>
    </w:p>
    <w:p w14:paraId="695EF654" w14:textId="77777777" w:rsidR="000552DB" w:rsidRDefault="000552DB" w:rsidP="009912B5">
      <w:pPr>
        <w:jc w:val="both"/>
        <w:rPr>
          <w:rFonts w:ascii="Arial" w:hAnsi="Arial" w:cs="Arial"/>
          <w:lang w:val="es-ES_tradnl"/>
        </w:rPr>
      </w:pPr>
    </w:p>
    <w:p w14:paraId="37569EFF" w14:textId="77777777" w:rsidR="00EC706E" w:rsidRDefault="00EC706E" w:rsidP="009912B5">
      <w:pPr>
        <w:jc w:val="both"/>
        <w:rPr>
          <w:rFonts w:ascii="Arial" w:hAnsi="Arial" w:cs="Arial"/>
          <w:lang w:val="es-ES_tradnl"/>
        </w:rPr>
      </w:pPr>
    </w:p>
    <w:p w14:paraId="5B3A2851" w14:textId="6E8C20AA" w:rsidR="005D6171" w:rsidRDefault="003E3ED4" w:rsidP="003E3ED4">
      <w:pPr>
        <w:jc w:val="center"/>
        <w:rPr>
          <w:rFonts w:ascii="Arial" w:hAnsi="Arial" w:cs="Arial"/>
          <w:lang w:val="es-ES_tradnl"/>
        </w:rPr>
      </w:pPr>
      <w:r w:rsidRPr="003E3ED4">
        <w:rPr>
          <w:rFonts w:ascii="Arial" w:hAnsi="Arial" w:cs="Arial"/>
          <w:noProof/>
          <w:lang w:val="es-ES_tradnl"/>
        </w:rPr>
        <w:drawing>
          <wp:inline distT="0" distB="0" distL="0" distR="0" wp14:anchorId="6ED8172A" wp14:editId="226E7E2E">
            <wp:extent cx="5692140" cy="681264"/>
            <wp:effectExtent l="0" t="0" r="3810" b="5080"/>
            <wp:docPr id="19631914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91453" name=""/>
                    <pic:cNvPicPr/>
                  </pic:nvPicPr>
                  <pic:blipFill>
                    <a:blip r:embed="rId20"/>
                    <a:stretch>
                      <a:fillRect/>
                    </a:stretch>
                  </pic:blipFill>
                  <pic:spPr>
                    <a:xfrm>
                      <a:off x="0" y="0"/>
                      <a:ext cx="5913681" cy="707779"/>
                    </a:xfrm>
                    <a:prstGeom prst="rect">
                      <a:avLst/>
                    </a:prstGeom>
                  </pic:spPr>
                </pic:pic>
              </a:graphicData>
            </a:graphic>
          </wp:inline>
        </w:drawing>
      </w:r>
    </w:p>
    <w:p w14:paraId="5049607E" w14:textId="23C19E28" w:rsidR="003E3ED4" w:rsidRPr="00C45497" w:rsidRDefault="003E3ED4" w:rsidP="00C45497">
      <w:pPr>
        <w:jc w:val="center"/>
        <w:rPr>
          <w:rFonts w:ascii="Arial" w:hAnsi="Arial" w:cs="Arial"/>
          <w:sz w:val="18"/>
          <w:szCs w:val="18"/>
          <w:lang w:val="es-ES_tradnl"/>
        </w:rPr>
      </w:pPr>
      <w:r w:rsidRPr="00C45497">
        <w:rPr>
          <w:rFonts w:ascii="Arial" w:hAnsi="Arial" w:cs="Arial"/>
          <w:sz w:val="18"/>
          <w:szCs w:val="18"/>
          <w:lang w:val="es-ES_tradnl"/>
        </w:rPr>
        <w:t>Fuente. Banco Agrario de Colombia</w:t>
      </w:r>
      <w:r w:rsidR="00D1426E">
        <w:rPr>
          <w:rFonts w:ascii="Arial" w:hAnsi="Arial" w:cs="Arial"/>
          <w:sz w:val="18"/>
          <w:szCs w:val="18"/>
          <w:lang w:val="es-ES_tradnl"/>
        </w:rPr>
        <w:t xml:space="preserve"> Oficio </w:t>
      </w:r>
      <w:r w:rsidR="00D1426E" w:rsidRPr="00D1426E">
        <w:rPr>
          <w:rFonts w:ascii="Arial" w:hAnsi="Arial" w:cs="Arial"/>
          <w:sz w:val="18"/>
          <w:szCs w:val="18"/>
          <w:lang w:val="es-ES_tradnl"/>
        </w:rPr>
        <w:t>GV - 4630</w:t>
      </w:r>
    </w:p>
    <w:p w14:paraId="2E4F76F2" w14:textId="77777777" w:rsidR="005D6171" w:rsidRDefault="005D6171" w:rsidP="009912B5">
      <w:pPr>
        <w:jc w:val="both"/>
        <w:rPr>
          <w:rFonts w:ascii="Arial" w:hAnsi="Arial" w:cs="Arial"/>
          <w:lang w:val="es-ES_tradnl"/>
        </w:rPr>
      </w:pPr>
    </w:p>
    <w:p w14:paraId="7CEEAC61" w14:textId="77777777" w:rsidR="00EC706E" w:rsidRDefault="00EC706E" w:rsidP="009912B5">
      <w:pPr>
        <w:jc w:val="both"/>
        <w:rPr>
          <w:rFonts w:ascii="Arial" w:hAnsi="Arial" w:cs="Arial"/>
          <w:lang w:val="es-ES_tradnl"/>
        </w:rPr>
      </w:pPr>
    </w:p>
    <w:p w14:paraId="29D25DFB" w14:textId="77777777" w:rsidR="00FA7641" w:rsidRPr="00EC706E" w:rsidRDefault="005864AE" w:rsidP="00FA7641">
      <w:pPr>
        <w:pStyle w:val="Descripcin"/>
        <w:jc w:val="both"/>
        <w:rPr>
          <w:rFonts w:ascii="Arial" w:eastAsia="Times New Roman" w:hAnsi="Arial" w:cs="Arial"/>
          <w:i w:val="0"/>
          <w:iCs w:val="0"/>
          <w:color w:val="auto"/>
          <w:sz w:val="22"/>
          <w:szCs w:val="22"/>
          <w:lang w:val="es-ES_tradnl"/>
        </w:rPr>
      </w:pPr>
      <w:r w:rsidRPr="00EC706E">
        <w:rPr>
          <w:rFonts w:ascii="Arial" w:eastAsia="Times New Roman" w:hAnsi="Arial" w:cs="Arial"/>
          <w:i w:val="0"/>
          <w:iCs w:val="0"/>
          <w:color w:val="auto"/>
          <w:sz w:val="22"/>
          <w:szCs w:val="22"/>
          <w:lang w:val="es-ES_tradnl"/>
        </w:rPr>
        <w:t>De los 1.616 subsidios programados para su materialización en 2025 se identifican, 53 subsidios del programa de Restitución de Tierras – URT, 577 subsidios de víctimas de conflicto (191 victimas + 261 Distribución Departamental Victimas + 125 Desplazados), 61</w:t>
      </w:r>
      <w:r w:rsidR="00675020" w:rsidRPr="00EC706E">
        <w:rPr>
          <w:rFonts w:ascii="Arial" w:eastAsia="Times New Roman" w:hAnsi="Arial" w:cs="Arial"/>
          <w:i w:val="0"/>
          <w:iCs w:val="0"/>
          <w:color w:val="auto"/>
          <w:sz w:val="22"/>
          <w:szCs w:val="22"/>
          <w:lang w:val="es-ES_tradnl"/>
        </w:rPr>
        <w:t xml:space="preserve"> </w:t>
      </w:r>
      <w:r w:rsidRPr="00EC706E">
        <w:rPr>
          <w:rFonts w:ascii="Arial" w:eastAsia="Times New Roman" w:hAnsi="Arial" w:cs="Arial"/>
          <w:i w:val="0"/>
          <w:iCs w:val="0"/>
          <w:color w:val="auto"/>
          <w:sz w:val="22"/>
          <w:szCs w:val="22"/>
          <w:lang w:val="es-ES_tradnl"/>
        </w:rPr>
        <w:t>subsidios de Dialogo Social de la comunidad CRIC y los 925 subsidios restantes perteneces a diferentes subprogramas de entidades promotoras. De los 1.616 subsidios, se encuentran en las entregas 285 subsidios que corresponden a acciones de Tutela</w:t>
      </w:r>
      <w:r w:rsidR="00FA7641" w:rsidRPr="00EC706E">
        <w:rPr>
          <w:rFonts w:ascii="Arial" w:eastAsia="Times New Roman" w:hAnsi="Arial" w:cs="Arial"/>
          <w:i w:val="0"/>
          <w:iCs w:val="0"/>
          <w:color w:val="auto"/>
          <w:sz w:val="22"/>
          <w:szCs w:val="22"/>
          <w:lang w:val="es-ES_tradnl"/>
        </w:rPr>
        <w:t xml:space="preserve">. </w:t>
      </w:r>
    </w:p>
    <w:p w14:paraId="1536ADB8" w14:textId="6D746F31" w:rsidR="00FA7641" w:rsidRDefault="00FA7641" w:rsidP="00FA7641">
      <w:pPr>
        <w:pStyle w:val="Descripcin"/>
        <w:jc w:val="both"/>
        <w:rPr>
          <w:rFonts w:ascii="Arial" w:eastAsia="Times New Roman" w:hAnsi="Arial" w:cs="Arial"/>
          <w:i w:val="0"/>
          <w:iCs w:val="0"/>
          <w:color w:val="auto"/>
          <w:sz w:val="22"/>
          <w:szCs w:val="22"/>
          <w:lang w:val="es-ES_tradnl"/>
        </w:rPr>
      </w:pPr>
      <w:r w:rsidRPr="00EC706E">
        <w:rPr>
          <w:rFonts w:ascii="Arial" w:eastAsia="Times New Roman" w:hAnsi="Arial" w:cs="Arial"/>
          <w:i w:val="0"/>
          <w:iCs w:val="0"/>
          <w:color w:val="auto"/>
          <w:sz w:val="22"/>
          <w:szCs w:val="22"/>
          <w:lang w:val="es-ES_tradnl"/>
        </w:rPr>
        <w:t xml:space="preserve">En la siguiente gráfica se detalla </w:t>
      </w:r>
      <w:r w:rsidR="00FC2815" w:rsidRPr="00EC706E">
        <w:rPr>
          <w:rFonts w:ascii="Arial" w:eastAsia="Times New Roman" w:hAnsi="Arial" w:cs="Arial"/>
          <w:i w:val="0"/>
          <w:iCs w:val="0"/>
          <w:color w:val="auto"/>
          <w:sz w:val="22"/>
          <w:szCs w:val="22"/>
          <w:lang w:val="es-ES_tradnl"/>
        </w:rPr>
        <w:t>la cantidad de subsidios materializados por mes durante el año 2025</w:t>
      </w:r>
      <w:r w:rsidR="005864AE" w:rsidRPr="00EC706E">
        <w:rPr>
          <w:rFonts w:ascii="Arial" w:eastAsia="Times New Roman" w:hAnsi="Arial" w:cs="Arial"/>
          <w:i w:val="0"/>
          <w:iCs w:val="0"/>
          <w:color w:val="auto"/>
          <w:sz w:val="22"/>
          <w:szCs w:val="22"/>
          <w:lang w:val="es-ES_tradnl"/>
        </w:rPr>
        <w:t>.</w:t>
      </w:r>
    </w:p>
    <w:p w14:paraId="7036619C" w14:textId="3E6AFD38" w:rsidR="00EC706E" w:rsidRPr="0017217B" w:rsidRDefault="0017217B" w:rsidP="00EC706E">
      <w:pPr>
        <w:rPr>
          <w:color w:val="EE0000"/>
          <w:lang w:val="es-ES_tradnl"/>
        </w:rPr>
      </w:pPr>
      <w:r w:rsidRPr="0017217B">
        <w:rPr>
          <w:color w:val="EE0000"/>
          <w:lang w:val="es-ES_tradnl"/>
        </w:rPr>
        <w:t>HARRISON</w:t>
      </w:r>
    </w:p>
    <w:p w14:paraId="73B4DE11" w14:textId="77777777" w:rsidR="009D1C58" w:rsidRPr="004C3199" w:rsidRDefault="009D1C58" w:rsidP="00675020">
      <w:pPr>
        <w:pStyle w:val="Descripcin"/>
        <w:spacing w:after="0"/>
        <w:rPr>
          <w:rFonts w:ascii="Arial" w:hAnsi="Arial" w:cs="Arial"/>
          <w:i w:val="0"/>
          <w:iCs w:val="0"/>
          <w:color w:val="auto"/>
          <w:sz w:val="22"/>
          <w:szCs w:val="22"/>
        </w:rPr>
      </w:pPr>
    </w:p>
    <w:p w14:paraId="1EC45CDA" w14:textId="77777777" w:rsidR="00EC706E" w:rsidRDefault="00EC706E" w:rsidP="00CB24C7">
      <w:pPr>
        <w:pStyle w:val="Descripcin"/>
        <w:spacing w:after="0"/>
        <w:jc w:val="center"/>
        <w:rPr>
          <w:rFonts w:ascii="Arial" w:hAnsi="Arial" w:cs="Arial"/>
          <w:i w:val="0"/>
          <w:iCs w:val="0"/>
          <w:color w:val="auto"/>
          <w:sz w:val="22"/>
          <w:szCs w:val="22"/>
        </w:rPr>
      </w:pPr>
    </w:p>
    <w:p w14:paraId="7DAA97C1" w14:textId="77777777" w:rsidR="00EC706E" w:rsidRDefault="00EC706E" w:rsidP="00CB24C7">
      <w:pPr>
        <w:pStyle w:val="Descripcin"/>
        <w:spacing w:after="0"/>
        <w:jc w:val="center"/>
        <w:rPr>
          <w:rFonts w:ascii="Arial" w:hAnsi="Arial" w:cs="Arial"/>
          <w:i w:val="0"/>
          <w:iCs w:val="0"/>
          <w:color w:val="auto"/>
          <w:sz w:val="22"/>
          <w:szCs w:val="22"/>
        </w:rPr>
      </w:pPr>
    </w:p>
    <w:p w14:paraId="7468E6F8" w14:textId="77777777" w:rsidR="00EC706E" w:rsidRDefault="00EC706E" w:rsidP="00CB24C7">
      <w:pPr>
        <w:pStyle w:val="Descripcin"/>
        <w:spacing w:after="0"/>
        <w:jc w:val="center"/>
        <w:rPr>
          <w:rFonts w:ascii="Arial" w:hAnsi="Arial" w:cs="Arial"/>
          <w:i w:val="0"/>
          <w:iCs w:val="0"/>
          <w:color w:val="auto"/>
          <w:sz w:val="22"/>
          <w:szCs w:val="22"/>
        </w:rPr>
      </w:pPr>
    </w:p>
    <w:p w14:paraId="5D3FD564" w14:textId="77777777" w:rsidR="00EC706E" w:rsidRDefault="00EC706E" w:rsidP="00CB24C7">
      <w:pPr>
        <w:pStyle w:val="Descripcin"/>
        <w:spacing w:after="0"/>
        <w:jc w:val="center"/>
        <w:rPr>
          <w:rFonts w:ascii="Arial" w:hAnsi="Arial" w:cs="Arial"/>
          <w:i w:val="0"/>
          <w:iCs w:val="0"/>
          <w:color w:val="auto"/>
          <w:sz w:val="22"/>
          <w:szCs w:val="22"/>
        </w:rPr>
      </w:pPr>
    </w:p>
    <w:p w14:paraId="5B781A15" w14:textId="77777777" w:rsidR="00EC706E" w:rsidRDefault="00EC706E" w:rsidP="00CB24C7">
      <w:pPr>
        <w:pStyle w:val="Descripcin"/>
        <w:spacing w:after="0"/>
        <w:jc w:val="center"/>
        <w:rPr>
          <w:rFonts w:ascii="Arial" w:hAnsi="Arial" w:cs="Arial"/>
          <w:i w:val="0"/>
          <w:iCs w:val="0"/>
          <w:color w:val="auto"/>
          <w:sz w:val="22"/>
          <w:szCs w:val="22"/>
        </w:rPr>
      </w:pPr>
    </w:p>
    <w:p w14:paraId="31C85FF5" w14:textId="77777777" w:rsidR="00EC706E" w:rsidRDefault="00EC706E" w:rsidP="00CB24C7">
      <w:pPr>
        <w:pStyle w:val="Descripcin"/>
        <w:spacing w:after="0"/>
        <w:jc w:val="center"/>
        <w:rPr>
          <w:rFonts w:ascii="Arial" w:hAnsi="Arial" w:cs="Arial"/>
          <w:i w:val="0"/>
          <w:iCs w:val="0"/>
          <w:color w:val="auto"/>
          <w:sz w:val="22"/>
          <w:szCs w:val="22"/>
        </w:rPr>
      </w:pPr>
    </w:p>
    <w:p w14:paraId="3B606A06" w14:textId="77777777" w:rsidR="00EC706E" w:rsidRDefault="00EC706E" w:rsidP="00CB24C7">
      <w:pPr>
        <w:pStyle w:val="Descripcin"/>
        <w:spacing w:after="0"/>
        <w:jc w:val="center"/>
        <w:rPr>
          <w:rFonts w:ascii="Arial" w:hAnsi="Arial" w:cs="Arial"/>
          <w:i w:val="0"/>
          <w:iCs w:val="0"/>
          <w:color w:val="auto"/>
          <w:sz w:val="22"/>
          <w:szCs w:val="22"/>
        </w:rPr>
      </w:pPr>
    </w:p>
    <w:p w14:paraId="6B9D4ED5" w14:textId="6F1608E7" w:rsidR="00844A8F" w:rsidRDefault="00EB1E3B" w:rsidP="00CB24C7">
      <w:pPr>
        <w:pStyle w:val="Descripcin"/>
        <w:spacing w:after="0"/>
        <w:jc w:val="center"/>
        <w:rPr>
          <w:rFonts w:ascii="Arial" w:hAnsi="Arial" w:cs="Arial"/>
          <w:i w:val="0"/>
          <w:iCs w:val="0"/>
          <w:color w:val="auto"/>
          <w:sz w:val="22"/>
          <w:szCs w:val="22"/>
          <w:lang w:val="es-ES_tradnl"/>
        </w:rPr>
      </w:pPr>
      <w:r w:rsidRPr="004C3199">
        <w:rPr>
          <w:rFonts w:ascii="Arial" w:hAnsi="Arial" w:cs="Arial"/>
          <w:i w:val="0"/>
          <w:iCs w:val="0"/>
          <w:color w:val="auto"/>
          <w:sz w:val="22"/>
          <w:szCs w:val="22"/>
        </w:rPr>
        <w:t xml:space="preserve">Gráfico  </w:t>
      </w:r>
      <w:r w:rsidR="004119BE" w:rsidRPr="004C3199">
        <w:rPr>
          <w:rFonts w:ascii="Arial" w:hAnsi="Arial" w:cs="Arial"/>
          <w:i w:val="0"/>
          <w:iCs w:val="0"/>
          <w:color w:val="auto"/>
          <w:sz w:val="22"/>
          <w:szCs w:val="22"/>
        </w:rPr>
        <w:fldChar w:fldCharType="begin"/>
      </w:r>
      <w:r w:rsidR="004119BE" w:rsidRPr="004C3199">
        <w:rPr>
          <w:rFonts w:ascii="Arial" w:hAnsi="Arial" w:cs="Arial"/>
          <w:i w:val="0"/>
          <w:iCs w:val="0"/>
          <w:color w:val="auto"/>
          <w:sz w:val="22"/>
          <w:szCs w:val="22"/>
        </w:rPr>
        <w:instrText xml:space="preserve"> SEQ grafico \* ARABIC </w:instrText>
      </w:r>
      <w:r w:rsidR="004119BE" w:rsidRPr="004C3199">
        <w:rPr>
          <w:rFonts w:ascii="Arial" w:hAnsi="Arial" w:cs="Arial"/>
          <w:i w:val="0"/>
          <w:iCs w:val="0"/>
          <w:color w:val="auto"/>
          <w:sz w:val="22"/>
          <w:szCs w:val="22"/>
        </w:rPr>
        <w:fldChar w:fldCharType="separate"/>
      </w:r>
      <w:r w:rsidR="005E3BDC" w:rsidRPr="004C3199">
        <w:rPr>
          <w:rFonts w:ascii="Arial" w:hAnsi="Arial" w:cs="Arial"/>
          <w:i w:val="0"/>
          <w:iCs w:val="0"/>
          <w:noProof/>
          <w:color w:val="auto"/>
          <w:sz w:val="22"/>
          <w:szCs w:val="22"/>
        </w:rPr>
        <w:t>2</w:t>
      </w:r>
      <w:r w:rsidR="004119BE" w:rsidRPr="004C3199">
        <w:rPr>
          <w:rFonts w:ascii="Arial" w:hAnsi="Arial" w:cs="Arial"/>
          <w:i w:val="0"/>
          <w:iCs w:val="0"/>
          <w:color w:val="auto"/>
          <w:sz w:val="22"/>
          <w:szCs w:val="22"/>
        </w:rPr>
        <w:fldChar w:fldCharType="end"/>
      </w:r>
      <w:r w:rsidR="006275A3" w:rsidRPr="004C3199">
        <w:rPr>
          <w:rFonts w:ascii="Arial" w:hAnsi="Arial" w:cs="Arial"/>
          <w:i w:val="0"/>
          <w:iCs w:val="0"/>
          <w:color w:val="auto"/>
          <w:sz w:val="22"/>
          <w:szCs w:val="22"/>
        </w:rPr>
        <w:t>.</w:t>
      </w:r>
      <w:r w:rsidR="00C10AC5" w:rsidRPr="004C3199">
        <w:rPr>
          <w:rStyle w:val="Refdecomentario"/>
          <w:rFonts w:ascii="Arial" w:eastAsia="Tw Cen MT" w:hAnsi="Arial" w:cs="Arial"/>
          <w:i w:val="0"/>
          <w:iCs w:val="0"/>
          <w:color w:val="auto"/>
          <w:sz w:val="22"/>
          <w:szCs w:val="22"/>
          <w:lang w:val="es-ES" w:eastAsia="es-ES" w:bidi="es-ES"/>
        </w:rPr>
        <w:t xml:space="preserve"> </w:t>
      </w:r>
      <w:r w:rsidR="00876AF2" w:rsidRPr="004C3199">
        <w:rPr>
          <w:rStyle w:val="Refdecomentario"/>
          <w:rFonts w:ascii="Arial" w:eastAsia="Tw Cen MT" w:hAnsi="Arial" w:cs="Arial"/>
          <w:i w:val="0"/>
          <w:iCs w:val="0"/>
          <w:color w:val="auto"/>
          <w:sz w:val="22"/>
          <w:szCs w:val="22"/>
          <w:lang w:val="es-ES" w:eastAsia="es-ES" w:bidi="es-ES"/>
        </w:rPr>
        <w:t>Resultados</w:t>
      </w:r>
      <w:r w:rsidR="00844A8F" w:rsidRPr="004C3199">
        <w:rPr>
          <w:rFonts w:ascii="Arial" w:hAnsi="Arial" w:cs="Arial"/>
          <w:i w:val="0"/>
          <w:iCs w:val="0"/>
          <w:color w:val="auto"/>
          <w:sz w:val="22"/>
          <w:szCs w:val="22"/>
          <w:lang w:val="es-ES_tradnl"/>
        </w:rPr>
        <w:t xml:space="preserve"> </w:t>
      </w:r>
      <w:r w:rsidR="00C10AC5" w:rsidRPr="004C3199">
        <w:rPr>
          <w:rFonts w:ascii="Arial" w:hAnsi="Arial" w:cs="Arial"/>
          <w:i w:val="0"/>
          <w:iCs w:val="0"/>
          <w:color w:val="auto"/>
          <w:sz w:val="22"/>
          <w:szCs w:val="22"/>
          <w:lang w:val="es-ES_tradnl"/>
        </w:rPr>
        <w:t>G</w:t>
      </w:r>
      <w:r w:rsidR="00844A8F" w:rsidRPr="004C3199">
        <w:rPr>
          <w:rFonts w:ascii="Arial" w:hAnsi="Arial" w:cs="Arial"/>
          <w:i w:val="0"/>
          <w:iCs w:val="0"/>
          <w:color w:val="auto"/>
          <w:sz w:val="22"/>
          <w:szCs w:val="22"/>
          <w:lang w:val="es-ES_tradnl"/>
        </w:rPr>
        <w:t>enerales del Programa VISR PND</w:t>
      </w:r>
      <w:bookmarkEnd w:id="9"/>
      <w:bookmarkEnd w:id="10"/>
    </w:p>
    <w:p w14:paraId="6A00D0A2" w14:textId="7EBEBE13" w:rsidR="00140606" w:rsidRDefault="00FA7641" w:rsidP="00EC706E">
      <w:pPr>
        <w:jc w:val="center"/>
        <w:rPr>
          <w:rFonts w:ascii="Arial" w:hAnsi="Arial" w:cs="Arial"/>
          <w:lang w:val="es-ES_tradnl"/>
        </w:rPr>
      </w:pPr>
      <w:r>
        <w:rPr>
          <w:noProof/>
        </w:rPr>
        <w:drawing>
          <wp:inline distT="0" distB="0" distL="0" distR="0" wp14:anchorId="768ED7FC" wp14:editId="319C72EB">
            <wp:extent cx="4770120" cy="2529840"/>
            <wp:effectExtent l="0" t="0" r="11430" b="3810"/>
            <wp:docPr id="540739843" name="Gráfico 1">
              <a:extLst xmlns:a="http://schemas.openxmlformats.org/drawingml/2006/main">
                <a:ext uri="{FF2B5EF4-FFF2-40B4-BE49-F238E27FC236}">
                  <a16:creationId xmlns:a16="http://schemas.microsoft.com/office/drawing/2014/main" id="{9A8771E6-4CA8-F320-1987-4EF52CD910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5F02E8E" w14:textId="7A53BD1C" w:rsidR="00140606" w:rsidRDefault="004D730F" w:rsidP="00CB24C7">
      <w:pPr>
        <w:jc w:val="center"/>
        <w:rPr>
          <w:rFonts w:ascii="Arial" w:hAnsi="Arial" w:cs="Arial"/>
          <w:lang w:val="es-ES_tradnl"/>
        </w:rPr>
      </w:pPr>
      <w:r w:rsidRPr="00A615B8">
        <w:rPr>
          <w:rFonts w:ascii="Arial" w:hAnsi="Arial" w:cs="Arial"/>
          <w:noProof/>
        </w:rPr>
        <mc:AlternateContent>
          <mc:Choice Requires="wps">
            <w:drawing>
              <wp:anchor distT="0" distB="0" distL="114300" distR="114300" simplePos="0" relativeHeight="251697152" behindDoc="0" locked="0" layoutInCell="1" allowOverlap="1" wp14:anchorId="3C2DA4A2" wp14:editId="44E29D47">
                <wp:simplePos x="0" y="0"/>
                <wp:positionH relativeFrom="margin">
                  <wp:posOffset>2320712</wp:posOffset>
                </wp:positionH>
                <wp:positionV relativeFrom="paragraph">
                  <wp:posOffset>19976</wp:posOffset>
                </wp:positionV>
                <wp:extent cx="3325090" cy="215785"/>
                <wp:effectExtent l="0" t="0" r="0" b="0"/>
                <wp:wrapNone/>
                <wp:docPr id="27" name="CuadroTexto 26">
                  <a:extLst xmlns:a="http://schemas.openxmlformats.org/drawingml/2006/main">
                    <a:ext uri="{FF2B5EF4-FFF2-40B4-BE49-F238E27FC236}">
                      <a16:creationId xmlns:a16="http://schemas.microsoft.com/office/drawing/2014/main" id="{452090A5-1A7E-45C3-7CEB-261800FD94DA}"/>
                    </a:ext>
                  </a:extLst>
                </wp:docPr>
                <wp:cNvGraphicFramePr/>
                <a:graphic xmlns:a="http://schemas.openxmlformats.org/drawingml/2006/main">
                  <a:graphicData uri="http://schemas.microsoft.com/office/word/2010/wordprocessingShape">
                    <wps:wsp>
                      <wps:cNvSpPr txBox="1"/>
                      <wps:spPr>
                        <a:xfrm>
                          <a:off x="0" y="0"/>
                          <a:ext cx="3325090" cy="215785"/>
                        </a:xfrm>
                        <a:prstGeom prst="rect">
                          <a:avLst/>
                        </a:prstGeom>
                        <a:noFill/>
                      </wps:spPr>
                      <wps:txbx>
                        <w:txbxContent>
                          <w:p w14:paraId="7471622B" w14:textId="2C27E6A4" w:rsidR="00A615B8" w:rsidRPr="00876019" w:rsidRDefault="00876019" w:rsidP="004D730F">
                            <w:pPr>
                              <w:pStyle w:val="Descripcin"/>
                              <w:spacing w:after="0"/>
                              <w:jc w:val="right"/>
                              <w:rPr>
                                <w:rFonts w:ascii="Arial" w:hAnsi="Arial" w:cs="Arial"/>
                                <w:i w:val="0"/>
                                <w:iCs w:val="0"/>
                                <w:color w:val="000000" w:themeColor="text1"/>
                                <w:lang w:val="es-ES_tradnl"/>
                              </w:rPr>
                            </w:pPr>
                            <w:r w:rsidRPr="00CB24C7">
                              <w:rPr>
                                <w:rFonts w:ascii="Arial" w:hAnsi="Arial" w:cs="Arial"/>
                                <w:i w:val="0"/>
                                <w:iCs w:val="0"/>
                                <w:color w:val="000000" w:themeColor="text1"/>
                                <w:lang w:val="es-ES_tradnl"/>
                              </w:rPr>
                              <w:t>Fuente: DGBPR-MADR</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2DA4A2" id="CuadroTexto 26" o:spid="_x0000_s1034" type="#_x0000_t202" style="position:absolute;left:0;text-align:left;margin-left:182.75pt;margin-top:1.55pt;width:261.8pt;height:17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" filled="f" stroked="f">
                <v:textbox>
                  <w:txbxContent>
                    <w:p w14:paraId="7471622B" w14:textId="2C27E6A4" w:rsidR="00A615B8" w:rsidRPr="00876019" w:rsidRDefault="00876019" w:rsidP="004D730F">
                      <w:pPr>
                        <w:pStyle w:val="Descripcin"/>
                        <w:spacing w:after="0"/>
                        <w:jc w:val="right"/>
                        <w:rPr>
                          <w:rFonts w:ascii="Arial" w:hAnsi="Arial" w:cs="Arial"/>
                          <w:i w:val="0"/>
                          <w:iCs w:val="0"/>
                          <w:color w:val="000000" w:themeColor="text1"/>
                          <w:lang w:val="es-ES_tradnl"/>
                        </w:rPr>
                      </w:pPr>
                      <w:r w:rsidRPr="00CB24C7">
                        <w:rPr>
                          <w:rFonts w:ascii="Arial" w:hAnsi="Arial" w:cs="Arial"/>
                          <w:i w:val="0"/>
                          <w:iCs w:val="0"/>
                          <w:color w:val="000000" w:themeColor="text1"/>
                          <w:lang w:val="es-ES_tradnl"/>
                        </w:rPr>
                        <w:t>Fuente: DGBPR-MADR</w:t>
                      </w:r>
                    </w:p>
                  </w:txbxContent>
                </v:textbox>
                <w10:wrap anchorx="margin"/>
              </v:shape>
            </w:pict>
          </mc:Fallback>
        </mc:AlternateContent>
      </w:r>
    </w:p>
    <w:p w14:paraId="3CBD85B8" w14:textId="5062CD67" w:rsidR="00F172F5" w:rsidRDefault="00726194" w:rsidP="00623FAB">
      <w:pPr>
        <w:jc w:val="both"/>
        <w:rPr>
          <w:rFonts w:ascii="Arial" w:hAnsi="Arial" w:cs="Arial"/>
          <w:lang w:val="es-ES_tradnl"/>
        </w:rPr>
      </w:pPr>
      <w:r>
        <w:rPr>
          <w:rFonts w:ascii="Arial" w:hAnsi="Arial" w:cs="Arial"/>
          <w:lang w:val="es-ES_tradnl"/>
        </w:rPr>
        <w:t>Así entonces a continuación se presenta</w:t>
      </w:r>
      <w:r w:rsidR="00F172F5">
        <w:rPr>
          <w:rFonts w:ascii="Arial" w:hAnsi="Arial" w:cs="Arial"/>
          <w:lang w:val="es-ES_tradnl"/>
        </w:rPr>
        <w:t>n</w:t>
      </w:r>
      <w:r>
        <w:rPr>
          <w:rFonts w:ascii="Arial" w:hAnsi="Arial" w:cs="Arial"/>
          <w:lang w:val="es-ES_tradnl"/>
        </w:rPr>
        <w:t xml:space="preserve"> </w:t>
      </w:r>
      <w:r w:rsidR="00F172F5">
        <w:rPr>
          <w:rFonts w:ascii="Arial" w:hAnsi="Arial" w:cs="Arial"/>
          <w:lang w:val="es-ES_tradnl"/>
        </w:rPr>
        <w:t xml:space="preserve">los subsidios materializados. </w:t>
      </w:r>
    </w:p>
    <w:p w14:paraId="1325D0C9" w14:textId="77777777" w:rsidR="000E3168" w:rsidRDefault="000E3168" w:rsidP="00623FAB">
      <w:pPr>
        <w:jc w:val="both"/>
        <w:rPr>
          <w:rFonts w:ascii="Arial" w:hAnsi="Arial" w:cs="Arial"/>
          <w:lang w:val="es-ES_tradnl"/>
        </w:rPr>
      </w:pPr>
    </w:p>
    <w:p w14:paraId="2A69C0C7" w14:textId="23B3512E" w:rsidR="00F172F5" w:rsidRDefault="000E3168" w:rsidP="00623FAB">
      <w:pPr>
        <w:jc w:val="both"/>
        <w:rPr>
          <w:rFonts w:ascii="Arial" w:hAnsi="Arial" w:cs="Arial"/>
          <w:lang w:val="es-ES_tradnl"/>
        </w:rPr>
      </w:pPr>
      <w:r w:rsidRPr="000E3168">
        <w:rPr>
          <w:rFonts w:ascii="Arial" w:hAnsi="Arial" w:cs="Arial"/>
          <w:noProof/>
          <w:lang w:val="es-ES_tradnl"/>
        </w:rPr>
        <w:drawing>
          <wp:inline distT="0" distB="0" distL="0" distR="0" wp14:anchorId="313E26E8" wp14:editId="00A7B747">
            <wp:extent cx="5760360" cy="586740"/>
            <wp:effectExtent l="0" t="0" r="0" b="3810"/>
            <wp:docPr id="20973323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332347" name=""/>
                    <pic:cNvPicPr/>
                  </pic:nvPicPr>
                  <pic:blipFill rotWithShape="1">
                    <a:blip r:embed="rId22"/>
                    <a:srcRect l="1357" b="18681"/>
                    <a:stretch>
                      <a:fillRect/>
                    </a:stretch>
                  </pic:blipFill>
                  <pic:spPr bwMode="auto">
                    <a:xfrm>
                      <a:off x="0" y="0"/>
                      <a:ext cx="5766005" cy="587315"/>
                    </a:xfrm>
                    <a:prstGeom prst="rect">
                      <a:avLst/>
                    </a:prstGeom>
                    <a:ln>
                      <a:noFill/>
                    </a:ln>
                    <a:extLst>
                      <a:ext uri="{53640926-AAD7-44D8-BBD7-CCE9431645EC}">
                        <a14:shadowObscured xmlns:a14="http://schemas.microsoft.com/office/drawing/2010/main"/>
                      </a:ext>
                    </a:extLst>
                  </pic:spPr>
                </pic:pic>
              </a:graphicData>
            </a:graphic>
          </wp:inline>
        </w:drawing>
      </w:r>
    </w:p>
    <w:p w14:paraId="2B265FD6" w14:textId="0B1275AD" w:rsidR="00F172F5" w:rsidRPr="00C45497" w:rsidRDefault="00F172F5" w:rsidP="00F172F5">
      <w:pPr>
        <w:jc w:val="center"/>
        <w:rPr>
          <w:rFonts w:ascii="Arial" w:hAnsi="Arial" w:cs="Arial"/>
          <w:sz w:val="18"/>
          <w:szCs w:val="18"/>
          <w:lang w:val="es-ES_tradnl"/>
        </w:rPr>
      </w:pPr>
      <w:r w:rsidRPr="00C45497">
        <w:rPr>
          <w:rFonts w:ascii="Arial" w:hAnsi="Arial" w:cs="Arial"/>
          <w:sz w:val="18"/>
          <w:szCs w:val="18"/>
          <w:lang w:val="es-ES_tradnl"/>
        </w:rPr>
        <w:t>Fuente. Banco Agrario de Colombia</w:t>
      </w:r>
      <w:r>
        <w:rPr>
          <w:rFonts w:ascii="Arial" w:hAnsi="Arial" w:cs="Arial"/>
          <w:sz w:val="18"/>
          <w:szCs w:val="18"/>
          <w:lang w:val="es-ES_tradnl"/>
        </w:rPr>
        <w:t xml:space="preserve"> Oficio </w:t>
      </w:r>
      <w:r w:rsidRPr="00D1426E">
        <w:rPr>
          <w:rFonts w:ascii="Arial" w:hAnsi="Arial" w:cs="Arial"/>
          <w:sz w:val="18"/>
          <w:szCs w:val="18"/>
          <w:lang w:val="es-ES_tradnl"/>
        </w:rPr>
        <w:t xml:space="preserve">GV - </w:t>
      </w:r>
      <w:r w:rsidR="006277BA">
        <w:rPr>
          <w:rFonts w:ascii="Arial" w:hAnsi="Arial" w:cs="Arial"/>
          <w:sz w:val="18"/>
          <w:szCs w:val="18"/>
          <w:lang w:val="es-ES_tradnl"/>
        </w:rPr>
        <w:t>0054</w:t>
      </w:r>
    </w:p>
    <w:p w14:paraId="32F97105" w14:textId="77777777" w:rsidR="00AB4CC4" w:rsidRPr="00EC706E" w:rsidRDefault="00AB4CC4" w:rsidP="00623FAB">
      <w:pPr>
        <w:jc w:val="both"/>
        <w:rPr>
          <w:rFonts w:ascii="Arial" w:hAnsi="Arial" w:cs="Arial"/>
          <w:lang w:val="es-ES_tradnl"/>
        </w:rPr>
      </w:pPr>
    </w:p>
    <w:p w14:paraId="03BCA67F" w14:textId="774BF707" w:rsidR="0017217B" w:rsidRPr="0017217B" w:rsidRDefault="0017217B" w:rsidP="00623FAB">
      <w:pPr>
        <w:jc w:val="both"/>
        <w:rPr>
          <w:rFonts w:ascii="Arial" w:hAnsi="Arial" w:cs="Arial"/>
          <w:lang w:val="en-CA"/>
        </w:rPr>
      </w:pPr>
      <w:r w:rsidRPr="007970D3">
        <w:rPr>
          <w:rFonts w:ascii="Arial" w:hAnsi="Arial" w:cs="Arial"/>
          <w:b/>
          <w:bCs/>
          <w:color w:val="EE0000"/>
          <w:lang w:val="en-CA"/>
        </w:rPr>
        <w:t xml:space="preserve">GLADYS (ESNEYDER – </w:t>
      </w:r>
      <w:proofErr w:type="spellStart"/>
      <w:r w:rsidRPr="007970D3">
        <w:rPr>
          <w:rFonts w:ascii="Arial" w:hAnsi="Arial" w:cs="Arial"/>
          <w:b/>
          <w:bCs/>
          <w:color w:val="EE0000"/>
          <w:lang w:val="en-CA"/>
        </w:rPr>
        <w:t>apoyo</w:t>
      </w:r>
      <w:proofErr w:type="spellEnd"/>
      <w:r w:rsidRPr="007970D3">
        <w:rPr>
          <w:rFonts w:ascii="Arial" w:hAnsi="Arial" w:cs="Arial"/>
          <w:b/>
          <w:bCs/>
          <w:color w:val="EE0000"/>
          <w:lang w:val="en-CA"/>
        </w:rPr>
        <w:t xml:space="preserve"> WENDY – CLAUDIA)</w:t>
      </w:r>
    </w:p>
    <w:p w14:paraId="6D5351F6" w14:textId="5FEC3511" w:rsidR="00DE7986" w:rsidRDefault="00C71F2A" w:rsidP="00623FAB">
      <w:pPr>
        <w:jc w:val="both"/>
        <w:rPr>
          <w:rFonts w:ascii="Arial" w:hAnsi="Arial" w:cs="Arial"/>
          <w:lang w:val="es-ES_tradnl"/>
        </w:rPr>
      </w:pPr>
      <w:r w:rsidRPr="00EC706E">
        <w:rPr>
          <w:rFonts w:ascii="Arial" w:hAnsi="Arial" w:cs="Arial"/>
          <w:lang w:val="es-ES_tradnl"/>
        </w:rPr>
        <w:t xml:space="preserve">Para el caso de los subsidios otorgados </w:t>
      </w:r>
      <w:r w:rsidR="00885627" w:rsidRPr="00EC706E">
        <w:rPr>
          <w:rFonts w:ascii="Arial" w:hAnsi="Arial" w:cs="Arial"/>
          <w:lang w:val="es-ES_tradnl"/>
        </w:rPr>
        <w:t>por el Ministerio de Agricultura y Desarrollo Rural durante</w:t>
      </w:r>
      <w:r w:rsidR="00F62F19" w:rsidRPr="00EC706E">
        <w:rPr>
          <w:rFonts w:ascii="Arial" w:hAnsi="Arial" w:cs="Arial"/>
          <w:lang w:val="es-ES_tradnl"/>
        </w:rPr>
        <w:t xml:space="preserve"> las vigencias </w:t>
      </w:r>
      <w:r w:rsidR="00885627" w:rsidRPr="00EC706E">
        <w:rPr>
          <w:rFonts w:ascii="Arial" w:hAnsi="Arial" w:cs="Arial"/>
          <w:lang w:val="es-ES_tradnl"/>
        </w:rPr>
        <w:t xml:space="preserve">2018-2019 y operado </w:t>
      </w:r>
      <w:r w:rsidRPr="00EC706E">
        <w:rPr>
          <w:rFonts w:ascii="Arial" w:hAnsi="Arial" w:cs="Arial"/>
          <w:lang w:val="es-ES_tradnl"/>
        </w:rPr>
        <w:t>por</w:t>
      </w:r>
      <w:r w:rsidR="00BB7AAB" w:rsidRPr="00EC706E">
        <w:rPr>
          <w:rFonts w:ascii="Arial" w:hAnsi="Arial" w:cs="Arial"/>
          <w:lang w:val="es-ES_tradnl"/>
        </w:rPr>
        <w:t xml:space="preserve"> FIDUAGRARIA </w:t>
      </w:r>
      <w:r w:rsidR="00F62F19" w:rsidRPr="00EC706E">
        <w:rPr>
          <w:rFonts w:ascii="Arial" w:hAnsi="Arial" w:cs="Arial"/>
          <w:lang w:val="es-ES_tradnl"/>
        </w:rPr>
        <w:t xml:space="preserve">S.A. </w:t>
      </w:r>
      <w:r w:rsidR="00BB7AAB" w:rsidRPr="00EC706E">
        <w:rPr>
          <w:rFonts w:ascii="Arial" w:hAnsi="Arial" w:cs="Arial"/>
          <w:lang w:val="es-ES_tradnl"/>
        </w:rPr>
        <w:t xml:space="preserve">se identifica </w:t>
      </w:r>
      <w:proofErr w:type="gramStart"/>
      <w:r w:rsidR="00BB7AAB" w:rsidRPr="00EC706E">
        <w:rPr>
          <w:rFonts w:ascii="Arial" w:hAnsi="Arial" w:cs="Arial"/>
          <w:lang w:val="es-ES_tradnl"/>
        </w:rPr>
        <w:t>que</w:t>
      </w:r>
      <w:proofErr w:type="gramEnd"/>
      <w:r w:rsidR="00BB7AAB" w:rsidRPr="00EC706E">
        <w:rPr>
          <w:rFonts w:ascii="Arial" w:hAnsi="Arial" w:cs="Arial"/>
          <w:lang w:val="es-ES_tradnl"/>
        </w:rPr>
        <w:t xml:space="preserve"> durante </w:t>
      </w:r>
      <w:r w:rsidR="00F62F19" w:rsidRPr="00EC706E">
        <w:rPr>
          <w:rFonts w:ascii="Arial" w:hAnsi="Arial" w:cs="Arial"/>
          <w:lang w:val="es-ES_tradnl"/>
        </w:rPr>
        <w:t>el último periodo</w:t>
      </w:r>
      <w:r w:rsidR="00DB4713" w:rsidRPr="00EC706E">
        <w:rPr>
          <w:rFonts w:ascii="Arial" w:hAnsi="Arial" w:cs="Arial"/>
          <w:lang w:val="es-ES_tradnl"/>
        </w:rPr>
        <w:t xml:space="preserve">, </w:t>
      </w:r>
      <w:r w:rsidR="00885627" w:rsidRPr="00EC706E">
        <w:rPr>
          <w:rFonts w:ascii="Arial" w:hAnsi="Arial" w:cs="Arial"/>
          <w:lang w:val="es-ES_tradnl"/>
        </w:rPr>
        <w:t>estos últimos tres meses</w:t>
      </w:r>
      <w:r w:rsidR="00BB7AAB" w:rsidRPr="00EC706E">
        <w:rPr>
          <w:rFonts w:ascii="Arial" w:hAnsi="Arial" w:cs="Arial"/>
          <w:lang w:val="es-ES_tradnl"/>
        </w:rPr>
        <w:t xml:space="preserve"> n</w:t>
      </w:r>
      <w:r w:rsidR="00DE7986" w:rsidRPr="00EC706E">
        <w:rPr>
          <w:rFonts w:ascii="Arial" w:hAnsi="Arial" w:cs="Arial"/>
          <w:lang w:val="es-ES_tradnl"/>
        </w:rPr>
        <w:t xml:space="preserve">o registraron </w:t>
      </w:r>
      <w:r w:rsidR="00623FAB" w:rsidRPr="00EC706E">
        <w:rPr>
          <w:rFonts w:ascii="Arial" w:hAnsi="Arial" w:cs="Arial"/>
          <w:lang w:val="es-ES_tradnl"/>
        </w:rPr>
        <w:t>materialización alguna</w:t>
      </w:r>
      <w:r w:rsidR="00477F4A" w:rsidRPr="00EC706E">
        <w:rPr>
          <w:rFonts w:ascii="Arial" w:hAnsi="Arial" w:cs="Arial"/>
          <w:lang w:val="es-ES_tradnl"/>
        </w:rPr>
        <w:t>,</w:t>
      </w:r>
      <w:r w:rsidR="00623FAB" w:rsidRPr="00EC706E">
        <w:rPr>
          <w:rFonts w:ascii="Arial" w:hAnsi="Arial" w:cs="Arial"/>
          <w:lang w:val="es-ES_tradnl"/>
        </w:rPr>
        <w:t xml:space="preserve"> por tanto</w:t>
      </w:r>
      <w:r w:rsidR="00477F4A" w:rsidRPr="00EC706E">
        <w:rPr>
          <w:rFonts w:ascii="Arial" w:hAnsi="Arial" w:cs="Arial"/>
          <w:lang w:val="es-ES_tradnl"/>
        </w:rPr>
        <w:t>,</w:t>
      </w:r>
      <w:r w:rsidR="00623FAB" w:rsidRPr="00EC706E">
        <w:rPr>
          <w:rFonts w:ascii="Arial" w:hAnsi="Arial" w:cs="Arial"/>
          <w:lang w:val="es-ES_tradnl"/>
        </w:rPr>
        <w:t xml:space="preserve"> se mantiene el dato anual en 140 </w:t>
      </w:r>
      <w:r w:rsidR="00885627" w:rsidRPr="00EC706E">
        <w:rPr>
          <w:rFonts w:ascii="Arial" w:hAnsi="Arial" w:cs="Arial"/>
          <w:lang w:val="es-ES_tradnl"/>
        </w:rPr>
        <w:t>SF</w:t>
      </w:r>
      <w:r w:rsidR="00477F4A" w:rsidRPr="00EC706E">
        <w:rPr>
          <w:rFonts w:ascii="Arial" w:hAnsi="Arial" w:cs="Arial"/>
          <w:lang w:val="es-ES_tradnl"/>
        </w:rPr>
        <w:t xml:space="preserve">VISR </w:t>
      </w:r>
      <w:r w:rsidR="00623FAB" w:rsidRPr="00EC706E">
        <w:rPr>
          <w:rFonts w:ascii="Arial" w:hAnsi="Arial" w:cs="Arial"/>
          <w:lang w:val="es-ES_tradnl"/>
        </w:rPr>
        <w:t>reportados en el mes de febrero.</w:t>
      </w:r>
      <w:r w:rsidR="00623FAB">
        <w:rPr>
          <w:rFonts w:ascii="Arial" w:hAnsi="Arial" w:cs="Arial"/>
          <w:lang w:val="es-ES_tradnl"/>
        </w:rPr>
        <w:t xml:space="preserve"> </w:t>
      </w:r>
    </w:p>
    <w:p w14:paraId="3547FD4F" w14:textId="77777777" w:rsidR="00E80C5D" w:rsidRDefault="00E80C5D" w:rsidP="00CB24C7">
      <w:pPr>
        <w:tabs>
          <w:tab w:val="left" w:pos="1680"/>
        </w:tabs>
        <w:rPr>
          <w:rFonts w:ascii="Arial" w:hAnsi="Arial" w:cs="Arial"/>
          <w:sz w:val="22"/>
          <w:szCs w:val="22"/>
          <w:lang w:val="es-ES_tradnl"/>
        </w:rPr>
      </w:pPr>
    </w:p>
    <w:p w14:paraId="62714AC5" w14:textId="77777777" w:rsidR="0017217B" w:rsidRDefault="0017217B" w:rsidP="00CB24C7">
      <w:pPr>
        <w:tabs>
          <w:tab w:val="left" w:pos="1680"/>
        </w:tabs>
        <w:rPr>
          <w:rFonts w:ascii="Arial" w:hAnsi="Arial" w:cs="Arial"/>
          <w:sz w:val="22"/>
          <w:szCs w:val="22"/>
          <w:lang w:val="es-ES_tradnl"/>
        </w:rPr>
      </w:pPr>
    </w:p>
    <w:p w14:paraId="6918D9FA" w14:textId="5F3646CC" w:rsidR="0017217B" w:rsidRDefault="0017217B" w:rsidP="00CB24C7">
      <w:pPr>
        <w:tabs>
          <w:tab w:val="left" w:pos="1680"/>
        </w:tabs>
        <w:rPr>
          <w:rFonts w:ascii="Arial" w:hAnsi="Arial" w:cs="Arial"/>
          <w:sz w:val="22"/>
          <w:szCs w:val="22"/>
          <w:lang w:val="es-ES_tradnl"/>
        </w:rPr>
      </w:pPr>
      <w:r>
        <w:rPr>
          <w:rFonts w:ascii="Arial" w:hAnsi="Arial" w:cs="Arial"/>
          <w:sz w:val="22"/>
          <w:szCs w:val="22"/>
          <w:lang w:val="es-ES_tradnl"/>
        </w:rPr>
        <w:t xml:space="preserve">ADICIONAR INFORMACIÓN RELACIONADA CON LAS METAS POR AUTOGESTIÓN </w:t>
      </w:r>
      <w:r w:rsidRPr="0017217B">
        <w:rPr>
          <w:rFonts w:ascii="Arial" w:hAnsi="Arial" w:cs="Arial"/>
          <w:color w:val="EE0000"/>
          <w:sz w:val="22"/>
          <w:szCs w:val="22"/>
          <w:lang w:val="es-ES_tradnl"/>
        </w:rPr>
        <w:t>(JOHANA Y MARIA JULIANA)</w:t>
      </w:r>
    </w:p>
    <w:p w14:paraId="6493F9DF" w14:textId="77777777" w:rsidR="0017217B" w:rsidRDefault="0017217B" w:rsidP="00CB24C7">
      <w:pPr>
        <w:tabs>
          <w:tab w:val="left" w:pos="1680"/>
        </w:tabs>
        <w:rPr>
          <w:rFonts w:ascii="Arial" w:hAnsi="Arial" w:cs="Arial"/>
          <w:sz w:val="22"/>
          <w:szCs w:val="22"/>
          <w:lang w:val="es-ES_tradnl"/>
        </w:rPr>
      </w:pPr>
    </w:p>
    <w:p w14:paraId="5CA5C910" w14:textId="77777777" w:rsidR="0017217B" w:rsidRPr="00CB24C7" w:rsidRDefault="0017217B" w:rsidP="00CB24C7">
      <w:pPr>
        <w:tabs>
          <w:tab w:val="left" w:pos="1680"/>
        </w:tabs>
        <w:rPr>
          <w:rFonts w:ascii="Arial" w:hAnsi="Arial" w:cs="Arial"/>
          <w:sz w:val="22"/>
          <w:szCs w:val="22"/>
          <w:lang w:val="es-ES_tradnl"/>
        </w:rPr>
      </w:pPr>
    </w:p>
    <w:p w14:paraId="5606ED95" w14:textId="6D589C13" w:rsidR="00EA6213" w:rsidRPr="00F348D0" w:rsidRDefault="00AD3771" w:rsidP="005F760B">
      <w:pPr>
        <w:pStyle w:val="Ttulo1"/>
        <w:numPr>
          <w:ilvl w:val="0"/>
          <w:numId w:val="7"/>
        </w:numPr>
        <w:spacing w:before="0"/>
        <w:jc w:val="both"/>
        <w:rPr>
          <w:rFonts w:ascii="Arial" w:hAnsi="Arial" w:cs="Arial"/>
          <w:b/>
          <w:bCs/>
          <w:color w:val="385623" w:themeColor="accent6" w:themeShade="80"/>
          <w:sz w:val="22"/>
          <w:szCs w:val="22"/>
          <w:lang w:val="es-ES_tradnl"/>
        </w:rPr>
      </w:pPr>
      <w:bookmarkStart w:id="12" w:name="_Toc225874779"/>
      <w:r w:rsidRPr="00F348D0">
        <w:rPr>
          <w:rFonts w:ascii="Arial" w:hAnsi="Arial" w:cs="Arial"/>
          <w:b/>
          <w:bCs/>
          <w:color w:val="385623" w:themeColor="accent6" w:themeShade="80"/>
          <w:sz w:val="22"/>
          <w:szCs w:val="22"/>
          <w:lang w:val="es-ES_tradnl"/>
        </w:rPr>
        <w:t>PRESUPUESTO DE EJECUCIÓN DEL PROGRAMA</w:t>
      </w:r>
      <w:bookmarkEnd w:id="12"/>
    </w:p>
    <w:p w14:paraId="118A6242" w14:textId="03F037BB" w:rsidR="00EA6213" w:rsidRDefault="0017217B" w:rsidP="00CB24C7">
      <w:pPr>
        <w:jc w:val="both"/>
        <w:rPr>
          <w:rFonts w:ascii="Arial" w:hAnsi="Arial" w:cs="Arial"/>
          <w:sz w:val="22"/>
          <w:szCs w:val="22"/>
          <w:lang w:val="es-ES_tradnl"/>
        </w:rPr>
      </w:pPr>
      <w:r w:rsidRPr="4CBE6209">
        <w:rPr>
          <w:rFonts w:ascii="Arial" w:hAnsi="Arial" w:cs="Arial"/>
          <w:b/>
          <w:bCs/>
          <w:color w:val="FF0000"/>
          <w:sz w:val="22"/>
          <w:szCs w:val="22"/>
          <w:lang w:val="es-ES"/>
        </w:rPr>
        <w:t>FREDDY (APOYO MARLA)</w:t>
      </w:r>
    </w:p>
    <w:p w14:paraId="556A45D5"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ES"/>
        </w:rPr>
        <w:t xml:space="preserve">El presupuesto de rentas de capital y el presupuesto de gastos para la vigencia fiscal del 1° de enero al 31 de diciembre de 2025 fue adoptado por el Decreto 1523 del 18 de diciembre de 2024 teniendo en cuenta que el Gobierno Nacional, de conformidad con lo establecido en el artículo 346 de la Constitución Política, formuló el proyecto de ley y lo presentó </w:t>
      </w:r>
      <w:r w:rsidRPr="006A537F">
        <w:rPr>
          <w:rFonts w:ascii="Arial" w:hAnsi="Arial" w:cs="Arial"/>
          <w:sz w:val="22"/>
          <w:szCs w:val="22"/>
          <w:lang w:val="es-ES"/>
        </w:rPr>
        <w:lastRenderedPageBreak/>
        <w:t>al Congreso de la República, el cual fue registrado como Proyecto de Ley </w:t>
      </w:r>
      <w:proofErr w:type="spellStart"/>
      <w:r w:rsidRPr="006A537F">
        <w:rPr>
          <w:rFonts w:ascii="Arial" w:hAnsi="Arial" w:cs="Arial"/>
          <w:sz w:val="22"/>
          <w:szCs w:val="22"/>
          <w:lang w:val="es-ES"/>
        </w:rPr>
        <w:t>N°</w:t>
      </w:r>
      <w:proofErr w:type="spellEnd"/>
      <w:r w:rsidRPr="006A537F">
        <w:rPr>
          <w:rFonts w:ascii="Arial" w:hAnsi="Arial" w:cs="Arial"/>
          <w:sz w:val="22"/>
          <w:szCs w:val="22"/>
          <w:lang w:val="es-ES"/>
        </w:rPr>
        <w:t> 090 de 2024 en la Cámara de Representantes y 060 en el Senado de la República. </w:t>
      </w:r>
      <w:r w:rsidRPr="006A537F">
        <w:rPr>
          <w:rFonts w:ascii="Arial" w:hAnsi="Arial" w:cs="Arial"/>
          <w:sz w:val="22"/>
          <w:szCs w:val="22"/>
          <w:lang w:val="es-MX"/>
        </w:rPr>
        <w:t> </w:t>
      </w:r>
    </w:p>
    <w:p w14:paraId="6905DB50"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20BB6B39" w14:textId="52ED02F1" w:rsidR="006A537F" w:rsidRPr="006A537F" w:rsidRDefault="008F411F" w:rsidP="006A537F">
      <w:pPr>
        <w:jc w:val="both"/>
        <w:rPr>
          <w:rFonts w:ascii="Arial" w:hAnsi="Arial" w:cs="Arial"/>
          <w:sz w:val="22"/>
          <w:szCs w:val="22"/>
          <w:lang w:val="es-MX"/>
        </w:rPr>
      </w:pPr>
      <w:r>
        <w:rPr>
          <w:rFonts w:ascii="Arial" w:hAnsi="Arial" w:cs="Arial"/>
          <w:sz w:val="22"/>
          <w:szCs w:val="22"/>
        </w:rPr>
        <w:t>E</w:t>
      </w:r>
      <w:r w:rsidR="006A537F" w:rsidRPr="006A537F">
        <w:rPr>
          <w:rFonts w:ascii="Arial" w:hAnsi="Arial" w:cs="Arial"/>
          <w:sz w:val="22"/>
          <w:szCs w:val="22"/>
        </w:rPr>
        <w:t>l artículo 59 del Estatuto Orgánico del Presupuesto, en concordancia con el artículo 348 de la Constitución Política, señala: "Si el Congreso no expidiere el presupuesto general de la Nación antes de la media noche del 20 de octubre del año respectivo, regirá el proyecto presentado por el gobierno, incluyendo las modificaciones que hayan sido aprobadas en el primer debate". </w:t>
      </w:r>
      <w:r w:rsidR="006A537F" w:rsidRPr="006A537F">
        <w:rPr>
          <w:rFonts w:ascii="Arial" w:hAnsi="Arial" w:cs="Arial"/>
          <w:sz w:val="22"/>
          <w:szCs w:val="22"/>
          <w:lang w:val="es-MX"/>
        </w:rPr>
        <w:t> </w:t>
      </w:r>
    </w:p>
    <w:p w14:paraId="0313787C" w14:textId="5B0266BD" w:rsidR="006A537F" w:rsidRPr="006A537F" w:rsidRDefault="008F411F" w:rsidP="006A537F">
      <w:pPr>
        <w:jc w:val="both"/>
        <w:rPr>
          <w:rFonts w:ascii="Arial" w:hAnsi="Arial" w:cs="Arial"/>
          <w:sz w:val="22"/>
          <w:szCs w:val="22"/>
          <w:lang w:val="es-MX"/>
        </w:rPr>
      </w:pPr>
      <w:r>
        <w:rPr>
          <w:rFonts w:ascii="Arial" w:hAnsi="Arial" w:cs="Arial"/>
          <w:sz w:val="22"/>
          <w:szCs w:val="22"/>
        </w:rPr>
        <w:t>E</w:t>
      </w:r>
      <w:r w:rsidR="006A537F" w:rsidRPr="006A537F">
        <w:rPr>
          <w:rFonts w:ascii="Arial" w:hAnsi="Arial" w:cs="Arial"/>
          <w:sz w:val="22"/>
          <w:szCs w:val="22"/>
        </w:rPr>
        <w:t xml:space="preserve">l Congreso de la República no expidió la ley por la cual se debía decretar el presupuesto de rentas y recursos de capital y ley de apropiaciones para la vigencia fiscal de enero al 31 de diciembre del año 2025, dentro del plazo y términos previstos en la normativa vigente. En ese sentido, la expedición del Presupuesto General de la Nación para la vigencia fiscal 2025 </w:t>
      </w:r>
      <w:r w:rsidR="00DB2FF1">
        <w:rPr>
          <w:rFonts w:ascii="Arial" w:hAnsi="Arial" w:cs="Arial"/>
          <w:sz w:val="22"/>
          <w:szCs w:val="22"/>
        </w:rPr>
        <w:t xml:space="preserve">se efectuó </w:t>
      </w:r>
      <w:r w:rsidR="006A537F" w:rsidRPr="006A537F">
        <w:rPr>
          <w:rFonts w:ascii="Arial" w:hAnsi="Arial" w:cs="Arial"/>
          <w:sz w:val="22"/>
          <w:szCs w:val="22"/>
        </w:rPr>
        <w:t>a través de decreto con fuerza de ley</w:t>
      </w:r>
      <w:r w:rsidR="00611AB6">
        <w:rPr>
          <w:rFonts w:ascii="Arial" w:hAnsi="Arial" w:cs="Arial"/>
          <w:sz w:val="22"/>
          <w:szCs w:val="22"/>
        </w:rPr>
        <w:t>,</w:t>
      </w:r>
      <w:r w:rsidR="006A537F" w:rsidRPr="006A537F">
        <w:rPr>
          <w:rFonts w:ascii="Arial" w:hAnsi="Arial" w:cs="Arial"/>
          <w:sz w:val="22"/>
          <w:szCs w:val="22"/>
        </w:rPr>
        <w:t xml:space="preserve"> no solo obedece a la obligación del </w:t>
      </w:r>
      <w:r w:rsidR="00611AB6">
        <w:rPr>
          <w:rFonts w:ascii="Arial" w:hAnsi="Arial" w:cs="Arial"/>
          <w:sz w:val="22"/>
          <w:szCs w:val="22"/>
        </w:rPr>
        <w:t>g</w:t>
      </w:r>
      <w:r w:rsidR="006A537F" w:rsidRPr="006A537F">
        <w:rPr>
          <w:rFonts w:ascii="Arial" w:hAnsi="Arial" w:cs="Arial"/>
          <w:sz w:val="22"/>
          <w:szCs w:val="22"/>
        </w:rPr>
        <w:t>obierno nacional por la omisión del Congreso de la República, sino que, conforme el artículo 113 de la Constitución Política, es un deber del Gobierno colaborar armónicamente para la realización de los fines del Estado Social de Derecho, garantizando la ejecución de políticas públicas en aras del correcto funcionamiento del Estado y de proteger los sectores más vulnerables. </w:t>
      </w:r>
      <w:r w:rsidR="006A537F" w:rsidRPr="006A537F">
        <w:rPr>
          <w:rFonts w:ascii="Arial" w:hAnsi="Arial" w:cs="Arial"/>
          <w:sz w:val="22"/>
          <w:szCs w:val="22"/>
          <w:lang w:val="es-MX"/>
        </w:rPr>
        <w:t> </w:t>
      </w:r>
    </w:p>
    <w:p w14:paraId="1D01EF83"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6E4E2C7C" w14:textId="53113E5E" w:rsidR="006A537F" w:rsidRPr="006A537F" w:rsidRDefault="008F411F" w:rsidP="006A537F">
      <w:pPr>
        <w:jc w:val="both"/>
        <w:rPr>
          <w:rFonts w:ascii="Arial" w:hAnsi="Arial" w:cs="Arial"/>
          <w:sz w:val="22"/>
          <w:szCs w:val="22"/>
          <w:lang w:val="es-MX"/>
        </w:rPr>
      </w:pPr>
      <w:r>
        <w:rPr>
          <w:rFonts w:ascii="Arial" w:hAnsi="Arial" w:cs="Arial"/>
          <w:sz w:val="22"/>
          <w:szCs w:val="22"/>
        </w:rPr>
        <w:t>D</w:t>
      </w:r>
      <w:r w:rsidR="006A537F" w:rsidRPr="006A537F">
        <w:rPr>
          <w:rFonts w:ascii="Arial" w:hAnsi="Arial" w:cs="Arial"/>
          <w:sz w:val="22"/>
          <w:szCs w:val="22"/>
        </w:rPr>
        <w:t>e conformidad con lo anterior, y dado que el Congreso no expidió el Presupuesto General de la Nación antes de la media noche del 20 de octubre del año 2024, regirá el proyecto presentado por el Gobierno de conformidad con lo dispuesto por el artículo 348 de la Constitución Política y el artículo 59 del Estatuto Orgánico de Presupuesto. </w:t>
      </w:r>
      <w:r w:rsidR="006A537F" w:rsidRPr="006A537F">
        <w:rPr>
          <w:rFonts w:ascii="Arial" w:hAnsi="Arial" w:cs="Arial"/>
          <w:sz w:val="22"/>
          <w:szCs w:val="22"/>
          <w:lang w:val="es-MX"/>
        </w:rPr>
        <w:t> </w:t>
      </w:r>
    </w:p>
    <w:p w14:paraId="480D9538"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4C226F11" w14:textId="2E6F7919" w:rsidR="006A537F" w:rsidRPr="006A537F" w:rsidRDefault="008F411F" w:rsidP="006A537F">
      <w:pPr>
        <w:jc w:val="both"/>
        <w:rPr>
          <w:rFonts w:ascii="Arial" w:hAnsi="Arial" w:cs="Arial"/>
          <w:sz w:val="22"/>
          <w:szCs w:val="22"/>
          <w:lang w:val="es-MX"/>
        </w:rPr>
      </w:pPr>
      <w:r>
        <w:rPr>
          <w:rFonts w:ascii="Arial" w:hAnsi="Arial" w:cs="Arial"/>
          <w:sz w:val="22"/>
          <w:szCs w:val="22"/>
          <w:lang w:val="es-MX"/>
        </w:rPr>
        <w:t>Así las cosas, d</w:t>
      </w:r>
      <w:proofErr w:type="spellStart"/>
      <w:r w:rsidR="006A537F" w:rsidRPr="006A537F">
        <w:rPr>
          <w:rFonts w:ascii="Arial" w:hAnsi="Arial" w:cs="Arial"/>
          <w:sz w:val="22"/>
          <w:szCs w:val="22"/>
          <w:lang w:val="es-ES"/>
        </w:rPr>
        <w:t>e</w:t>
      </w:r>
      <w:proofErr w:type="spellEnd"/>
      <w:r w:rsidR="006A537F" w:rsidRPr="006A537F">
        <w:rPr>
          <w:rFonts w:ascii="Arial" w:hAnsi="Arial" w:cs="Arial"/>
          <w:sz w:val="22"/>
          <w:szCs w:val="22"/>
          <w:lang w:val="es-ES"/>
        </w:rPr>
        <w:t xml:space="preserve"> acuerdo con el Decreto 1523 del 18 de diciembre de 2024 "Por el cual se liquida el Presupuesto General de la Nación para la vigencia fiscal de 2025", al Programa de Vivienda – soluciones de vivienda rural – Subsidio para la construcción o mejoramiento de vivienda de interés social rural para la población rural nacional, al proyecto le fue asignada una apropiación inicial de </w:t>
      </w:r>
      <w:r w:rsidR="006A537F" w:rsidRPr="006A537F">
        <w:rPr>
          <w:rFonts w:ascii="Arial" w:hAnsi="Arial" w:cs="Arial"/>
          <w:b/>
          <w:bCs/>
          <w:sz w:val="22"/>
          <w:szCs w:val="22"/>
          <w:lang w:val="es-ES"/>
        </w:rPr>
        <w:t>$40.000.000.000</w:t>
      </w:r>
      <w:r w:rsidR="006A537F" w:rsidRPr="006A537F">
        <w:rPr>
          <w:rFonts w:ascii="Arial" w:hAnsi="Arial" w:cs="Arial"/>
          <w:sz w:val="22"/>
          <w:szCs w:val="22"/>
          <w:lang w:val="es-ES"/>
        </w:rPr>
        <w:t>, la cual, al inicio de la vigencia se distribuyó en cuatro (4) actividades y a partir del 28 de octubre, en seis (6) actividades.</w:t>
      </w:r>
      <w:r w:rsidR="006A537F" w:rsidRPr="006A537F">
        <w:rPr>
          <w:rFonts w:ascii="Arial" w:hAnsi="Arial" w:cs="Arial"/>
          <w:sz w:val="22"/>
          <w:szCs w:val="22"/>
          <w:lang w:val="es-MX"/>
        </w:rPr>
        <w:t> </w:t>
      </w:r>
    </w:p>
    <w:p w14:paraId="600BC454"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3E77AC99"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ES"/>
        </w:rPr>
        <w:t>De conformidad con el Decreto 1484 del 31 de diciembre de 2025, expedido por el Ministerio de Hacienda y Crédito Público, mediante el cual se reducen apropiaciones al Presupuesto General de la Nación, el proyecto de inversión </w:t>
      </w:r>
      <w:r w:rsidRPr="006A537F">
        <w:rPr>
          <w:rFonts w:ascii="Arial" w:hAnsi="Arial" w:cs="Arial"/>
          <w:b/>
          <w:bCs/>
          <w:sz w:val="22"/>
          <w:szCs w:val="22"/>
          <w:lang w:val="es-ES"/>
        </w:rPr>
        <w:t>“Consolidación cierre del programa de subsidios para la construcción o mejoramiento de vivienda de interés social rural para la población rural nacional”</w:t>
      </w:r>
      <w:r w:rsidRPr="006A537F">
        <w:rPr>
          <w:rFonts w:ascii="Arial" w:hAnsi="Arial" w:cs="Arial"/>
          <w:sz w:val="22"/>
          <w:szCs w:val="22"/>
          <w:lang w:val="es-ES"/>
        </w:rPr>
        <w:t>, identificado con el </w:t>
      </w:r>
      <w:r w:rsidRPr="006A537F">
        <w:rPr>
          <w:rFonts w:ascii="Arial" w:hAnsi="Arial" w:cs="Arial"/>
          <w:b/>
          <w:bCs/>
          <w:sz w:val="22"/>
          <w:szCs w:val="22"/>
          <w:lang w:val="es-ES"/>
        </w:rPr>
        <w:t>código BPIN 202400000000186</w:t>
      </w:r>
      <w:r w:rsidRPr="006A537F">
        <w:rPr>
          <w:rFonts w:ascii="Arial" w:hAnsi="Arial" w:cs="Arial"/>
          <w:sz w:val="22"/>
          <w:szCs w:val="22"/>
          <w:lang w:val="es-ES"/>
        </w:rPr>
        <w:t>, presenta una </w:t>
      </w:r>
      <w:r w:rsidRPr="006A537F">
        <w:rPr>
          <w:rFonts w:ascii="Arial" w:hAnsi="Arial" w:cs="Arial"/>
          <w:b/>
          <w:bCs/>
          <w:sz w:val="22"/>
          <w:szCs w:val="22"/>
          <w:lang w:val="es-ES"/>
        </w:rPr>
        <w:t>reducción presupuestal de $44.216.350</w:t>
      </w:r>
      <w:r w:rsidRPr="006A537F">
        <w:rPr>
          <w:rFonts w:ascii="Arial" w:hAnsi="Arial" w:cs="Arial"/>
          <w:sz w:val="22"/>
          <w:szCs w:val="22"/>
          <w:lang w:val="es-ES"/>
        </w:rPr>
        <w:t> la cual afectó a la actividad 1.1.1</w:t>
      </w:r>
      <w:r w:rsidRPr="006A537F">
        <w:rPr>
          <w:rFonts w:ascii="Arial" w:hAnsi="Arial" w:cs="Arial"/>
          <w:sz w:val="22"/>
          <w:szCs w:val="22"/>
          <w:lang w:val="es-MX"/>
        </w:rPr>
        <w:t> </w:t>
      </w:r>
    </w:p>
    <w:p w14:paraId="10253A82"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7F42474B" w14:textId="1985B84E"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ES"/>
        </w:rPr>
        <w:t>En consecuencia, el presupuesto inicialmente asignado de </w:t>
      </w:r>
      <w:r w:rsidRPr="006A537F">
        <w:rPr>
          <w:rFonts w:ascii="Arial" w:hAnsi="Arial" w:cs="Arial"/>
          <w:b/>
          <w:bCs/>
          <w:sz w:val="22"/>
          <w:szCs w:val="22"/>
          <w:lang w:val="es-ES"/>
        </w:rPr>
        <w:t>$40.000.000.000</w:t>
      </w:r>
      <w:r w:rsidRPr="006A537F">
        <w:rPr>
          <w:rFonts w:ascii="Arial" w:hAnsi="Arial" w:cs="Arial"/>
          <w:sz w:val="22"/>
          <w:szCs w:val="22"/>
          <w:lang w:val="es-ES"/>
        </w:rPr>
        <w:t> se reduce a un </w:t>
      </w:r>
      <w:r w:rsidRPr="006A537F">
        <w:rPr>
          <w:rFonts w:ascii="Arial" w:hAnsi="Arial" w:cs="Arial"/>
          <w:b/>
          <w:bCs/>
          <w:sz w:val="22"/>
          <w:szCs w:val="22"/>
          <w:lang w:val="es-ES"/>
        </w:rPr>
        <w:t>presupuesto vigente de $39.955.783.650</w:t>
      </w:r>
      <w:r w:rsidR="006E7F48">
        <w:rPr>
          <w:rFonts w:ascii="Arial" w:hAnsi="Arial" w:cs="Arial"/>
          <w:sz w:val="22"/>
          <w:szCs w:val="22"/>
          <w:lang w:val="es-ES"/>
        </w:rPr>
        <w:t xml:space="preserve"> y se distribuye, así: </w:t>
      </w:r>
    </w:p>
    <w:p w14:paraId="3B360B24" w14:textId="77777777" w:rsidR="0034363E" w:rsidRPr="006A537F" w:rsidRDefault="0034363E" w:rsidP="006A537F">
      <w:pPr>
        <w:jc w:val="both"/>
        <w:rPr>
          <w:rFonts w:ascii="Arial" w:hAnsi="Arial" w:cs="Arial"/>
          <w:sz w:val="22"/>
          <w:szCs w:val="22"/>
          <w:lang w:val="es-MX"/>
        </w:rPr>
      </w:pPr>
    </w:p>
    <w:p w14:paraId="21CA69E8" w14:textId="681F104C" w:rsidR="006A537F" w:rsidRPr="00340BFE" w:rsidRDefault="006A537F" w:rsidP="00340BFE">
      <w:pPr>
        <w:jc w:val="center"/>
        <w:rPr>
          <w:rFonts w:ascii="Arial" w:hAnsi="Arial" w:cs="Arial"/>
          <w:i/>
          <w:iCs/>
          <w:sz w:val="22"/>
          <w:szCs w:val="22"/>
          <w:lang w:val="es-MX"/>
        </w:rPr>
      </w:pPr>
      <w:r w:rsidRPr="006A537F">
        <w:rPr>
          <w:rFonts w:ascii="Arial" w:hAnsi="Arial" w:cs="Arial"/>
          <w:sz w:val="22"/>
          <w:szCs w:val="22"/>
          <w:lang w:val="es-ES"/>
        </w:rPr>
        <w:t>T</w:t>
      </w:r>
      <w:proofErr w:type="spellStart"/>
      <w:r w:rsidRPr="006A537F">
        <w:rPr>
          <w:rFonts w:ascii="Arial" w:hAnsi="Arial" w:cs="Arial"/>
          <w:sz w:val="22"/>
          <w:szCs w:val="22"/>
        </w:rPr>
        <w:t>abla</w:t>
      </w:r>
      <w:proofErr w:type="spellEnd"/>
      <w:r w:rsidRPr="006A537F">
        <w:rPr>
          <w:rFonts w:ascii="Arial" w:hAnsi="Arial" w:cs="Arial"/>
          <w:sz w:val="22"/>
          <w:szCs w:val="22"/>
        </w:rPr>
        <w:t> </w:t>
      </w:r>
      <w:r w:rsidR="00DA290E">
        <w:rPr>
          <w:rFonts w:ascii="Arial" w:hAnsi="Arial" w:cs="Arial"/>
          <w:sz w:val="22"/>
          <w:szCs w:val="22"/>
        </w:rPr>
        <w:t>3</w:t>
      </w:r>
      <w:r w:rsidRPr="006A537F">
        <w:rPr>
          <w:rFonts w:ascii="Arial" w:hAnsi="Arial" w:cs="Arial"/>
          <w:sz w:val="22"/>
          <w:szCs w:val="22"/>
        </w:rPr>
        <w:t> </w:t>
      </w:r>
      <w:r w:rsidRPr="006A537F">
        <w:rPr>
          <w:rFonts w:ascii="Arial" w:hAnsi="Arial" w:cs="Arial"/>
          <w:sz w:val="22"/>
          <w:szCs w:val="22"/>
          <w:lang w:val="es-ES"/>
        </w:rPr>
        <w:t xml:space="preserve">Distribución de Recursos Para la </w:t>
      </w:r>
      <w:commentRangeStart w:id="13"/>
      <w:r w:rsidRPr="006A537F">
        <w:rPr>
          <w:rFonts w:ascii="Arial" w:hAnsi="Arial" w:cs="Arial"/>
          <w:sz w:val="22"/>
          <w:szCs w:val="22"/>
          <w:lang w:val="es-ES"/>
        </w:rPr>
        <w:t>Vigencia 2025</w:t>
      </w:r>
      <w:commentRangeEnd w:id="13"/>
      <w:r w:rsidR="0017217B" w:rsidRPr="00340BFE">
        <w:rPr>
          <w:rStyle w:val="Refdecomentario"/>
          <w:rFonts w:ascii="Arial" w:hAnsi="Arial" w:cs="Arial"/>
          <w:i/>
          <w:iCs/>
          <w:sz w:val="22"/>
          <w:szCs w:val="22"/>
          <w:lang w:val="es-MX"/>
        </w:rPr>
        <w:commentReference w:id="13"/>
      </w:r>
    </w:p>
    <w:p w14:paraId="6DB4F380" w14:textId="77777777" w:rsidR="00AB4CC4" w:rsidRPr="006A537F" w:rsidRDefault="00AB4CC4" w:rsidP="006A537F">
      <w:pPr>
        <w:jc w:val="both"/>
        <w:rPr>
          <w:rFonts w:ascii="Arial" w:hAnsi="Arial" w:cs="Arial"/>
          <w:sz w:val="16"/>
          <w:szCs w:val="16"/>
          <w:lang w:val="es-MX"/>
        </w:rPr>
      </w:pPr>
    </w:p>
    <w:tbl>
      <w:tblPr>
        <w:tblW w:w="882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83"/>
        <w:gridCol w:w="1031"/>
        <w:gridCol w:w="1280"/>
        <w:gridCol w:w="1439"/>
        <w:gridCol w:w="1396"/>
        <w:gridCol w:w="2593"/>
      </w:tblGrid>
      <w:tr w:rsidR="003372D3" w:rsidRPr="003372D3" w14:paraId="0EEEA1EF" w14:textId="77777777" w:rsidTr="0034363E">
        <w:trPr>
          <w:trHeight w:val="585"/>
        </w:trPr>
        <w:tc>
          <w:tcPr>
            <w:tcW w:w="1083" w:type="dxa"/>
            <w:tcBorders>
              <w:top w:val="single" w:sz="6" w:space="0" w:color="auto"/>
              <w:left w:val="single" w:sz="6" w:space="0" w:color="auto"/>
              <w:bottom w:val="single" w:sz="6" w:space="0" w:color="auto"/>
              <w:right w:val="single" w:sz="6" w:space="0" w:color="auto"/>
            </w:tcBorders>
            <w:vAlign w:val="center"/>
            <w:hideMark/>
          </w:tcPr>
          <w:p w14:paraId="6D4DABE4" w14:textId="485474F8" w:rsidR="006A537F" w:rsidRPr="006A537F" w:rsidRDefault="006A537F" w:rsidP="00032971">
            <w:pPr>
              <w:jc w:val="center"/>
              <w:rPr>
                <w:rFonts w:ascii="Arial" w:hAnsi="Arial" w:cs="Arial"/>
                <w:sz w:val="16"/>
                <w:szCs w:val="16"/>
                <w:lang w:val="es-MX"/>
              </w:rPr>
            </w:pPr>
            <w:r w:rsidRPr="006A537F">
              <w:rPr>
                <w:rFonts w:ascii="Arial" w:hAnsi="Arial" w:cs="Arial"/>
                <w:b/>
                <w:bCs/>
                <w:sz w:val="16"/>
                <w:szCs w:val="16"/>
              </w:rPr>
              <w:t>OBJETIVO ESPECIFICO</w:t>
            </w:r>
          </w:p>
        </w:tc>
        <w:tc>
          <w:tcPr>
            <w:tcW w:w="1031" w:type="dxa"/>
            <w:tcBorders>
              <w:top w:val="single" w:sz="6" w:space="0" w:color="auto"/>
              <w:left w:val="nil"/>
              <w:bottom w:val="single" w:sz="6" w:space="0" w:color="auto"/>
              <w:right w:val="single" w:sz="6" w:space="0" w:color="auto"/>
            </w:tcBorders>
            <w:vAlign w:val="center"/>
            <w:hideMark/>
          </w:tcPr>
          <w:p w14:paraId="57C83606" w14:textId="6B181F50" w:rsidR="006A537F" w:rsidRPr="006A537F" w:rsidRDefault="006A537F" w:rsidP="00032971">
            <w:pPr>
              <w:jc w:val="center"/>
              <w:rPr>
                <w:rFonts w:ascii="Arial" w:hAnsi="Arial" w:cs="Arial"/>
                <w:sz w:val="16"/>
                <w:szCs w:val="16"/>
                <w:lang w:val="es-MX"/>
              </w:rPr>
            </w:pPr>
            <w:r w:rsidRPr="006A537F">
              <w:rPr>
                <w:rFonts w:ascii="Arial" w:hAnsi="Arial" w:cs="Arial"/>
                <w:b/>
                <w:bCs/>
                <w:sz w:val="16"/>
                <w:szCs w:val="16"/>
              </w:rPr>
              <w:t>PRODUCTO</w:t>
            </w:r>
          </w:p>
        </w:tc>
        <w:tc>
          <w:tcPr>
            <w:tcW w:w="1280" w:type="dxa"/>
            <w:tcBorders>
              <w:top w:val="single" w:sz="6" w:space="0" w:color="auto"/>
              <w:left w:val="nil"/>
              <w:bottom w:val="single" w:sz="6" w:space="0" w:color="auto"/>
              <w:right w:val="single" w:sz="6" w:space="0" w:color="auto"/>
            </w:tcBorders>
            <w:vAlign w:val="center"/>
            <w:hideMark/>
          </w:tcPr>
          <w:p w14:paraId="36CD691C" w14:textId="17763C5F" w:rsidR="006A537F" w:rsidRPr="006A537F" w:rsidRDefault="006A537F" w:rsidP="00032971">
            <w:pPr>
              <w:jc w:val="center"/>
              <w:rPr>
                <w:rFonts w:ascii="Arial" w:hAnsi="Arial" w:cs="Arial"/>
                <w:sz w:val="16"/>
                <w:szCs w:val="16"/>
                <w:lang w:val="es-MX"/>
              </w:rPr>
            </w:pPr>
            <w:r w:rsidRPr="006A537F">
              <w:rPr>
                <w:rFonts w:ascii="Arial" w:hAnsi="Arial" w:cs="Arial"/>
                <w:b/>
                <w:bCs/>
                <w:sz w:val="16"/>
                <w:szCs w:val="16"/>
              </w:rPr>
              <w:t>ACTIVIDADES</w:t>
            </w:r>
          </w:p>
        </w:tc>
        <w:tc>
          <w:tcPr>
            <w:tcW w:w="1439" w:type="dxa"/>
            <w:tcBorders>
              <w:top w:val="single" w:sz="6" w:space="0" w:color="auto"/>
              <w:left w:val="nil"/>
              <w:bottom w:val="single" w:sz="6" w:space="0" w:color="auto"/>
              <w:right w:val="single" w:sz="6" w:space="0" w:color="auto"/>
            </w:tcBorders>
            <w:vAlign w:val="center"/>
            <w:hideMark/>
          </w:tcPr>
          <w:p w14:paraId="0146245A" w14:textId="2DF6C92D" w:rsidR="006A537F" w:rsidRPr="006A537F" w:rsidRDefault="006A537F" w:rsidP="00032971">
            <w:pPr>
              <w:jc w:val="center"/>
              <w:rPr>
                <w:rFonts w:ascii="Arial" w:hAnsi="Arial" w:cs="Arial"/>
                <w:sz w:val="16"/>
                <w:szCs w:val="16"/>
                <w:lang w:val="es-MX"/>
              </w:rPr>
            </w:pPr>
            <w:r w:rsidRPr="006A537F">
              <w:rPr>
                <w:rFonts w:ascii="Arial" w:hAnsi="Arial" w:cs="Arial"/>
                <w:b/>
                <w:bCs/>
                <w:sz w:val="16"/>
                <w:szCs w:val="16"/>
              </w:rPr>
              <w:t>VALOR ACTUAL</w:t>
            </w:r>
          </w:p>
        </w:tc>
        <w:tc>
          <w:tcPr>
            <w:tcW w:w="1396" w:type="dxa"/>
            <w:tcBorders>
              <w:top w:val="single" w:sz="6" w:space="0" w:color="auto"/>
              <w:left w:val="nil"/>
              <w:bottom w:val="single" w:sz="6" w:space="0" w:color="auto"/>
              <w:right w:val="single" w:sz="6" w:space="0" w:color="auto"/>
            </w:tcBorders>
            <w:vAlign w:val="center"/>
            <w:hideMark/>
          </w:tcPr>
          <w:p w14:paraId="7AED479D" w14:textId="6F9093D1" w:rsidR="006A537F" w:rsidRPr="006A537F" w:rsidRDefault="006A537F" w:rsidP="00032971">
            <w:pPr>
              <w:jc w:val="center"/>
              <w:rPr>
                <w:rFonts w:ascii="Arial" w:hAnsi="Arial" w:cs="Arial"/>
                <w:sz w:val="16"/>
                <w:szCs w:val="16"/>
                <w:lang w:val="es-MX"/>
              </w:rPr>
            </w:pPr>
            <w:r w:rsidRPr="006A537F">
              <w:rPr>
                <w:rFonts w:ascii="Arial" w:hAnsi="Arial" w:cs="Arial"/>
                <w:b/>
                <w:bCs/>
                <w:sz w:val="16"/>
                <w:szCs w:val="16"/>
              </w:rPr>
              <w:t>VALOR AJUSTADO</w:t>
            </w:r>
          </w:p>
        </w:tc>
        <w:tc>
          <w:tcPr>
            <w:tcW w:w="2593" w:type="dxa"/>
            <w:tcBorders>
              <w:top w:val="single" w:sz="6" w:space="0" w:color="auto"/>
              <w:left w:val="nil"/>
              <w:bottom w:val="single" w:sz="6" w:space="0" w:color="auto"/>
              <w:right w:val="single" w:sz="6" w:space="0" w:color="auto"/>
            </w:tcBorders>
            <w:vAlign w:val="center"/>
            <w:hideMark/>
          </w:tcPr>
          <w:p w14:paraId="7BE157B4" w14:textId="1883BC47" w:rsidR="006A537F" w:rsidRPr="006A537F" w:rsidRDefault="006A537F" w:rsidP="00032971">
            <w:pPr>
              <w:jc w:val="center"/>
              <w:rPr>
                <w:rFonts w:ascii="Arial" w:hAnsi="Arial" w:cs="Arial"/>
                <w:sz w:val="16"/>
                <w:szCs w:val="16"/>
                <w:lang w:val="es-MX"/>
              </w:rPr>
            </w:pPr>
            <w:r w:rsidRPr="006A537F">
              <w:rPr>
                <w:rFonts w:ascii="Arial" w:hAnsi="Arial" w:cs="Arial"/>
                <w:b/>
                <w:bCs/>
                <w:sz w:val="16"/>
                <w:szCs w:val="16"/>
              </w:rPr>
              <w:t>OBSERVACIONES</w:t>
            </w:r>
          </w:p>
        </w:tc>
      </w:tr>
      <w:tr w:rsidR="003372D3" w:rsidRPr="003372D3" w14:paraId="03584258" w14:textId="77777777" w:rsidTr="0034363E">
        <w:trPr>
          <w:trHeight w:val="1860"/>
        </w:trPr>
        <w:tc>
          <w:tcPr>
            <w:tcW w:w="1083" w:type="dxa"/>
            <w:vMerge w:val="restart"/>
            <w:tcBorders>
              <w:top w:val="nil"/>
              <w:left w:val="single" w:sz="6" w:space="0" w:color="auto"/>
              <w:bottom w:val="single" w:sz="6" w:space="0" w:color="auto"/>
              <w:right w:val="single" w:sz="6" w:space="0" w:color="auto"/>
            </w:tcBorders>
            <w:vAlign w:val="center"/>
            <w:hideMark/>
          </w:tcPr>
          <w:p w14:paraId="73C705F1" w14:textId="0D69AF61"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lastRenderedPageBreak/>
              <w:t>Aumentar la eficacia en la materialización de los SFVISR otorgados de las vigencias 2000 a 2019</w:t>
            </w:r>
          </w:p>
        </w:tc>
        <w:tc>
          <w:tcPr>
            <w:tcW w:w="1031" w:type="dxa"/>
            <w:vMerge w:val="restart"/>
            <w:tcBorders>
              <w:top w:val="nil"/>
              <w:left w:val="single" w:sz="6" w:space="0" w:color="auto"/>
              <w:bottom w:val="single" w:sz="6" w:space="0" w:color="auto"/>
              <w:right w:val="single" w:sz="6" w:space="0" w:color="auto"/>
            </w:tcBorders>
            <w:vAlign w:val="center"/>
            <w:hideMark/>
          </w:tcPr>
          <w:p w14:paraId="353BF0A1" w14:textId="0391DA20"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Servicio de apoyo financiero para soluciones de vivienda rural (Producto principal del proyecto)</w:t>
            </w:r>
          </w:p>
        </w:tc>
        <w:tc>
          <w:tcPr>
            <w:tcW w:w="1280" w:type="dxa"/>
            <w:tcBorders>
              <w:top w:val="nil"/>
              <w:left w:val="nil"/>
              <w:bottom w:val="single" w:sz="6" w:space="0" w:color="auto"/>
              <w:right w:val="single" w:sz="6" w:space="0" w:color="auto"/>
            </w:tcBorders>
            <w:vAlign w:val="center"/>
            <w:hideMark/>
          </w:tcPr>
          <w:p w14:paraId="578B108D" w14:textId="78F37906"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1.1 Realizar seguimiento a la ejecución del subsidio de VISR</w:t>
            </w:r>
          </w:p>
        </w:tc>
        <w:tc>
          <w:tcPr>
            <w:tcW w:w="1439" w:type="dxa"/>
            <w:tcBorders>
              <w:top w:val="nil"/>
              <w:left w:val="nil"/>
              <w:bottom w:val="single" w:sz="6" w:space="0" w:color="auto"/>
              <w:right w:val="single" w:sz="6" w:space="0" w:color="auto"/>
            </w:tcBorders>
            <w:vAlign w:val="center"/>
            <w:hideMark/>
          </w:tcPr>
          <w:p w14:paraId="0D06D6AE" w14:textId="2F76C92D"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$2.615.270.799,00</w:t>
            </w:r>
          </w:p>
        </w:tc>
        <w:tc>
          <w:tcPr>
            <w:tcW w:w="1396" w:type="dxa"/>
            <w:tcBorders>
              <w:top w:val="nil"/>
              <w:left w:val="nil"/>
              <w:bottom w:val="single" w:sz="6" w:space="0" w:color="auto"/>
              <w:right w:val="single" w:sz="6" w:space="0" w:color="auto"/>
            </w:tcBorders>
            <w:vAlign w:val="center"/>
            <w:hideMark/>
          </w:tcPr>
          <w:p w14:paraId="5A668270" w14:textId="7B108FB2"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$2.151.781.726</w:t>
            </w:r>
          </w:p>
        </w:tc>
        <w:tc>
          <w:tcPr>
            <w:tcW w:w="2593" w:type="dxa"/>
            <w:tcBorders>
              <w:top w:val="nil"/>
              <w:left w:val="nil"/>
              <w:bottom w:val="single" w:sz="6" w:space="0" w:color="auto"/>
              <w:right w:val="single" w:sz="6" w:space="0" w:color="auto"/>
            </w:tcBorders>
            <w:vAlign w:val="center"/>
            <w:hideMark/>
          </w:tcPr>
          <w:p w14:paraId="29A6E97E" w14:textId="0B4DB6E0" w:rsidR="006A537F" w:rsidRPr="006A537F" w:rsidRDefault="006A537F" w:rsidP="007C4732">
            <w:pPr>
              <w:jc w:val="center"/>
              <w:rPr>
                <w:rFonts w:ascii="Arial" w:hAnsi="Arial" w:cs="Arial"/>
                <w:sz w:val="16"/>
                <w:szCs w:val="16"/>
                <w:lang w:val="es-MX"/>
              </w:rPr>
            </w:pPr>
            <w:r w:rsidRPr="006A537F">
              <w:rPr>
                <w:rFonts w:ascii="Arial" w:hAnsi="Arial" w:cs="Arial"/>
                <w:sz w:val="16"/>
                <w:szCs w:val="16"/>
              </w:rPr>
              <w:t>Se realiza reducciones de saldos de contratos de prestación de servicios; teniendo en cuenta que se realizaron terminaciones de contratos anticipadas y reducciones por prorrateos de las contrataciones que iniciaron posteriormente a lo planeado. Por lo tanto, $419.272.723,47 se trasladarán a la actividad "1.6 Implementar soluciones de vivienda mediante autogestión, construcción delegada otras modalidades habilitadas normativamente, para el cierre"; con el fin de financiar dicha actividad y de acuerdo con el decreto 1484 del 31 de diciembre de 2025, se presenta una reducción presupuestal de $44.216.350</w:t>
            </w:r>
          </w:p>
        </w:tc>
      </w:tr>
      <w:tr w:rsidR="003372D3" w:rsidRPr="003372D3" w14:paraId="6B647FB8" w14:textId="77777777" w:rsidTr="0034363E">
        <w:trPr>
          <w:trHeight w:val="1545"/>
        </w:trPr>
        <w:tc>
          <w:tcPr>
            <w:tcW w:w="1083" w:type="dxa"/>
            <w:vMerge/>
            <w:tcBorders>
              <w:top w:val="nil"/>
              <w:left w:val="single" w:sz="6" w:space="0" w:color="auto"/>
              <w:bottom w:val="single" w:sz="6" w:space="0" w:color="auto"/>
              <w:right w:val="single" w:sz="6" w:space="0" w:color="auto"/>
            </w:tcBorders>
            <w:vAlign w:val="center"/>
            <w:hideMark/>
          </w:tcPr>
          <w:p w14:paraId="6BF5ECF4" w14:textId="77777777" w:rsidR="006A537F" w:rsidRPr="006A537F" w:rsidRDefault="006A537F" w:rsidP="006A537F">
            <w:pPr>
              <w:jc w:val="both"/>
              <w:rPr>
                <w:rFonts w:ascii="Arial" w:hAnsi="Arial" w:cs="Arial"/>
                <w:sz w:val="16"/>
                <w:szCs w:val="16"/>
                <w:lang w:val="es-MX"/>
              </w:rPr>
            </w:pPr>
          </w:p>
        </w:tc>
        <w:tc>
          <w:tcPr>
            <w:tcW w:w="1031" w:type="dxa"/>
            <w:vMerge/>
            <w:tcBorders>
              <w:top w:val="nil"/>
              <w:left w:val="single" w:sz="6" w:space="0" w:color="auto"/>
              <w:bottom w:val="single" w:sz="6" w:space="0" w:color="auto"/>
              <w:right w:val="single" w:sz="6" w:space="0" w:color="auto"/>
            </w:tcBorders>
            <w:vAlign w:val="center"/>
            <w:hideMark/>
          </w:tcPr>
          <w:p w14:paraId="54903551" w14:textId="77777777" w:rsidR="006A537F" w:rsidRPr="006A537F" w:rsidRDefault="006A537F" w:rsidP="006A537F">
            <w:pPr>
              <w:jc w:val="both"/>
              <w:rPr>
                <w:rFonts w:ascii="Arial" w:hAnsi="Arial" w:cs="Arial"/>
                <w:sz w:val="16"/>
                <w:szCs w:val="16"/>
                <w:lang w:val="es-MX"/>
              </w:rPr>
            </w:pPr>
          </w:p>
        </w:tc>
        <w:tc>
          <w:tcPr>
            <w:tcW w:w="1280" w:type="dxa"/>
            <w:tcBorders>
              <w:top w:val="nil"/>
              <w:left w:val="nil"/>
              <w:bottom w:val="single" w:sz="6" w:space="0" w:color="auto"/>
              <w:right w:val="single" w:sz="6" w:space="0" w:color="auto"/>
            </w:tcBorders>
            <w:vAlign w:val="center"/>
            <w:hideMark/>
          </w:tcPr>
          <w:p w14:paraId="3B5A34D3" w14:textId="4565A363"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1.2 Realizar mantenimiento de plataforma tecnológica de validación de información con herramientas de</w:t>
            </w:r>
          </w:p>
        </w:tc>
        <w:tc>
          <w:tcPr>
            <w:tcW w:w="1439" w:type="dxa"/>
            <w:tcBorders>
              <w:top w:val="nil"/>
              <w:left w:val="nil"/>
              <w:bottom w:val="single" w:sz="6" w:space="0" w:color="auto"/>
              <w:right w:val="single" w:sz="6" w:space="0" w:color="auto"/>
            </w:tcBorders>
            <w:vAlign w:val="center"/>
            <w:hideMark/>
          </w:tcPr>
          <w:p w14:paraId="0EA958AC" w14:textId="6739F364"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$ 192.772.171,00</w:t>
            </w:r>
          </w:p>
        </w:tc>
        <w:tc>
          <w:tcPr>
            <w:tcW w:w="1396" w:type="dxa"/>
            <w:tcBorders>
              <w:top w:val="nil"/>
              <w:left w:val="nil"/>
              <w:bottom w:val="single" w:sz="6" w:space="0" w:color="auto"/>
              <w:right w:val="single" w:sz="6" w:space="0" w:color="auto"/>
            </w:tcBorders>
            <w:vAlign w:val="center"/>
            <w:hideMark/>
          </w:tcPr>
          <w:p w14:paraId="11BB860B" w14:textId="353B28C8"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$ 0</w:t>
            </w:r>
          </w:p>
        </w:tc>
        <w:tc>
          <w:tcPr>
            <w:tcW w:w="2593" w:type="dxa"/>
            <w:tcBorders>
              <w:top w:val="nil"/>
              <w:left w:val="nil"/>
              <w:bottom w:val="single" w:sz="6" w:space="0" w:color="auto"/>
              <w:right w:val="single" w:sz="6" w:space="0" w:color="auto"/>
            </w:tcBorders>
            <w:vAlign w:val="center"/>
            <w:hideMark/>
          </w:tcPr>
          <w:p w14:paraId="62121961" w14:textId="3F6D7223" w:rsidR="006A537F" w:rsidRPr="006A537F" w:rsidRDefault="006A537F" w:rsidP="007C4732">
            <w:pPr>
              <w:jc w:val="center"/>
              <w:rPr>
                <w:rFonts w:ascii="Arial" w:hAnsi="Arial" w:cs="Arial"/>
                <w:sz w:val="16"/>
                <w:szCs w:val="16"/>
                <w:lang w:val="es-MX"/>
              </w:rPr>
            </w:pPr>
            <w:r w:rsidRPr="006A537F">
              <w:rPr>
                <w:rFonts w:ascii="Arial" w:hAnsi="Arial" w:cs="Arial"/>
                <w:sz w:val="16"/>
                <w:szCs w:val="16"/>
              </w:rPr>
              <w:t>No se encontró el personal con el perfil adecuado para realizar dicha actividad; por lo tanto, no se realizará contratación del personal a cargo de la plataforma tecnológica; ante lo cual, se solicitó el apoyo a la oficina de </w:t>
            </w:r>
            <w:proofErr w:type="spellStart"/>
            <w:r w:rsidRPr="006A537F">
              <w:rPr>
                <w:rFonts w:ascii="Arial" w:hAnsi="Arial" w:cs="Arial"/>
                <w:sz w:val="16"/>
                <w:szCs w:val="16"/>
              </w:rPr>
              <w:t>TICs</w:t>
            </w:r>
            <w:proofErr w:type="spellEnd"/>
            <w:r w:rsidRPr="006A537F">
              <w:rPr>
                <w:rFonts w:ascii="Arial" w:hAnsi="Arial" w:cs="Arial"/>
                <w:sz w:val="16"/>
                <w:szCs w:val="16"/>
              </w:rPr>
              <w:t> para realizar el mantenimiento de la plataforma. Por </w:t>
            </w:r>
            <w:proofErr w:type="spellStart"/>
            <w:r w:rsidRPr="006A537F">
              <w:rPr>
                <w:rFonts w:ascii="Arial" w:hAnsi="Arial" w:cs="Arial"/>
                <w:sz w:val="16"/>
                <w:szCs w:val="16"/>
              </w:rPr>
              <w:t>Io</w:t>
            </w:r>
            <w:proofErr w:type="spellEnd"/>
            <w:r w:rsidRPr="006A537F">
              <w:rPr>
                <w:rFonts w:ascii="Arial" w:hAnsi="Arial" w:cs="Arial"/>
                <w:sz w:val="16"/>
                <w:szCs w:val="16"/>
              </w:rPr>
              <w:t> anterior, $192.772.171,00 se enviará a la actividad "1.6 Implementar soluciones de vivienda mediante autogestión, construcción delegada otras modalidades habilitadas normativamente, para el cierre"; con el fin de financiar dicha actividad.</w:t>
            </w:r>
          </w:p>
        </w:tc>
      </w:tr>
      <w:tr w:rsidR="003372D3" w:rsidRPr="003372D3" w14:paraId="507B1934" w14:textId="77777777" w:rsidTr="0034363E">
        <w:trPr>
          <w:trHeight w:val="1305"/>
        </w:trPr>
        <w:tc>
          <w:tcPr>
            <w:tcW w:w="1083" w:type="dxa"/>
            <w:vMerge/>
            <w:tcBorders>
              <w:top w:val="nil"/>
              <w:left w:val="single" w:sz="6" w:space="0" w:color="auto"/>
              <w:bottom w:val="single" w:sz="6" w:space="0" w:color="auto"/>
              <w:right w:val="single" w:sz="6" w:space="0" w:color="auto"/>
            </w:tcBorders>
            <w:vAlign w:val="center"/>
            <w:hideMark/>
          </w:tcPr>
          <w:p w14:paraId="09849BC0" w14:textId="77777777" w:rsidR="006A537F" w:rsidRPr="006A537F" w:rsidRDefault="006A537F" w:rsidP="006A537F">
            <w:pPr>
              <w:jc w:val="both"/>
              <w:rPr>
                <w:rFonts w:ascii="Arial" w:hAnsi="Arial" w:cs="Arial"/>
                <w:sz w:val="16"/>
                <w:szCs w:val="16"/>
                <w:lang w:val="es-MX"/>
              </w:rPr>
            </w:pPr>
          </w:p>
        </w:tc>
        <w:tc>
          <w:tcPr>
            <w:tcW w:w="1031" w:type="dxa"/>
            <w:vMerge/>
            <w:tcBorders>
              <w:top w:val="nil"/>
              <w:left w:val="single" w:sz="6" w:space="0" w:color="auto"/>
              <w:bottom w:val="single" w:sz="6" w:space="0" w:color="auto"/>
              <w:right w:val="single" w:sz="6" w:space="0" w:color="auto"/>
            </w:tcBorders>
            <w:vAlign w:val="center"/>
            <w:hideMark/>
          </w:tcPr>
          <w:p w14:paraId="3F57C96D" w14:textId="77777777" w:rsidR="006A537F" w:rsidRPr="006A537F" w:rsidRDefault="006A537F" w:rsidP="006A537F">
            <w:pPr>
              <w:jc w:val="both"/>
              <w:rPr>
                <w:rFonts w:ascii="Arial" w:hAnsi="Arial" w:cs="Arial"/>
                <w:sz w:val="16"/>
                <w:szCs w:val="16"/>
                <w:lang w:val="es-MX"/>
              </w:rPr>
            </w:pPr>
          </w:p>
        </w:tc>
        <w:tc>
          <w:tcPr>
            <w:tcW w:w="1280" w:type="dxa"/>
            <w:tcBorders>
              <w:top w:val="nil"/>
              <w:left w:val="nil"/>
              <w:bottom w:val="single" w:sz="6" w:space="0" w:color="auto"/>
              <w:right w:val="single" w:sz="6" w:space="0" w:color="auto"/>
            </w:tcBorders>
            <w:vAlign w:val="center"/>
            <w:hideMark/>
          </w:tcPr>
          <w:p w14:paraId="25D728AD" w14:textId="39985840"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1.3 Realizar la indexación y cierre de los subsidios adjudicados</w:t>
            </w:r>
          </w:p>
        </w:tc>
        <w:tc>
          <w:tcPr>
            <w:tcW w:w="1439" w:type="dxa"/>
            <w:tcBorders>
              <w:top w:val="nil"/>
              <w:left w:val="nil"/>
              <w:bottom w:val="single" w:sz="6" w:space="0" w:color="auto"/>
              <w:right w:val="single" w:sz="6" w:space="0" w:color="auto"/>
            </w:tcBorders>
            <w:vAlign w:val="center"/>
            <w:hideMark/>
          </w:tcPr>
          <w:p w14:paraId="4A4032AA" w14:textId="247E4FB1"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$28.191.957.030,00</w:t>
            </w:r>
          </w:p>
        </w:tc>
        <w:tc>
          <w:tcPr>
            <w:tcW w:w="1396" w:type="dxa"/>
            <w:tcBorders>
              <w:top w:val="nil"/>
              <w:left w:val="nil"/>
              <w:bottom w:val="single" w:sz="6" w:space="0" w:color="auto"/>
              <w:right w:val="single" w:sz="6" w:space="0" w:color="auto"/>
            </w:tcBorders>
            <w:vAlign w:val="center"/>
            <w:hideMark/>
          </w:tcPr>
          <w:p w14:paraId="1BE477FB" w14:textId="1CC3F4DF"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$ 0</w:t>
            </w:r>
          </w:p>
        </w:tc>
        <w:tc>
          <w:tcPr>
            <w:tcW w:w="2593" w:type="dxa"/>
            <w:tcBorders>
              <w:top w:val="nil"/>
              <w:left w:val="nil"/>
              <w:bottom w:val="single" w:sz="6" w:space="0" w:color="auto"/>
              <w:right w:val="single" w:sz="6" w:space="0" w:color="auto"/>
            </w:tcBorders>
            <w:vAlign w:val="center"/>
            <w:hideMark/>
          </w:tcPr>
          <w:p w14:paraId="26DB91F5" w14:textId="64C07C7C" w:rsidR="006A537F" w:rsidRPr="006A537F" w:rsidRDefault="006A537F" w:rsidP="007C4732">
            <w:pPr>
              <w:jc w:val="center"/>
              <w:rPr>
                <w:rFonts w:ascii="Arial" w:hAnsi="Arial" w:cs="Arial"/>
                <w:sz w:val="16"/>
                <w:szCs w:val="16"/>
                <w:lang w:val="es-MX"/>
              </w:rPr>
            </w:pPr>
            <w:r w:rsidRPr="006A537F">
              <w:rPr>
                <w:rFonts w:ascii="Arial" w:hAnsi="Arial" w:cs="Arial"/>
                <w:sz w:val="16"/>
                <w:szCs w:val="16"/>
              </w:rPr>
              <w:t>Se reduce el recurso de esta actividad por un valor de $28.191.957.030,00, con el objetivo de ser trasladado a las actividades "1.5 Realizar pagos de pasivos exigibles Vigencias Expiradas' ($25.134.673.891,54) y "1.6 Implementar soluciones de vivienda mediante autogestión, construcción delegada y otras modalidades habilitadas normativamente, para el cierre" 3.057.283.138,46).</w:t>
            </w:r>
          </w:p>
        </w:tc>
      </w:tr>
      <w:tr w:rsidR="003372D3" w:rsidRPr="003372D3" w14:paraId="7BBD6CA8" w14:textId="77777777" w:rsidTr="0034363E">
        <w:trPr>
          <w:trHeight w:val="750"/>
        </w:trPr>
        <w:tc>
          <w:tcPr>
            <w:tcW w:w="1083" w:type="dxa"/>
            <w:vMerge/>
            <w:tcBorders>
              <w:top w:val="nil"/>
              <w:left w:val="single" w:sz="6" w:space="0" w:color="auto"/>
              <w:bottom w:val="single" w:sz="6" w:space="0" w:color="auto"/>
              <w:right w:val="single" w:sz="6" w:space="0" w:color="auto"/>
            </w:tcBorders>
            <w:vAlign w:val="center"/>
            <w:hideMark/>
          </w:tcPr>
          <w:p w14:paraId="1D82B862" w14:textId="77777777" w:rsidR="006A537F" w:rsidRPr="006A537F" w:rsidRDefault="006A537F" w:rsidP="006A537F">
            <w:pPr>
              <w:jc w:val="both"/>
              <w:rPr>
                <w:rFonts w:ascii="Arial" w:hAnsi="Arial" w:cs="Arial"/>
                <w:sz w:val="16"/>
                <w:szCs w:val="16"/>
                <w:lang w:val="es-MX"/>
              </w:rPr>
            </w:pPr>
          </w:p>
        </w:tc>
        <w:tc>
          <w:tcPr>
            <w:tcW w:w="1031" w:type="dxa"/>
            <w:vMerge/>
            <w:tcBorders>
              <w:top w:val="nil"/>
              <w:left w:val="single" w:sz="6" w:space="0" w:color="auto"/>
              <w:bottom w:val="single" w:sz="6" w:space="0" w:color="auto"/>
              <w:right w:val="single" w:sz="6" w:space="0" w:color="auto"/>
            </w:tcBorders>
            <w:vAlign w:val="center"/>
            <w:hideMark/>
          </w:tcPr>
          <w:p w14:paraId="3AE84EEF" w14:textId="77777777" w:rsidR="006A537F" w:rsidRPr="006A537F" w:rsidRDefault="006A537F" w:rsidP="006A537F">
            <w:pPr>
              <w:jc w:val="both"/>
              <w:rPr>
                <w:rFonts w:ascii="Arial" w:hAnsi="Arial" w:cs="Arial"/>
                <w:sz w:val="16"/>
                <w:szCs w:val="16"/>
                <w:lang w:val="es-MX"/>
              </w:rPr>
            </w:pPr>
          </w:p>
        </w:tc>
        <w:tc>
          <w:tcPr>
            <w:tcW w:w="1280" w:type="dxa"/>
            <w:tcBorders>
              <w:top w:val="nil"/>
              <w:left w:val="nil"/>
              <w:bottom w:val="single" w:sz="6" w:space="0" w:color="auto"/>
              <w:right w:val="single" w:sz="6" w:space="0" w:color="auto"/>
            </w:tcBorders>
            <w:vAlign w:val="center"/>
            <w:hideMark/>
          </w:tcPr>
          <w:p w14:paraId="7D28FDAA" w14:textId="2495D200"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1.4 Realizar auditoría externa o evaluación del Programa de vivienda de interés social rural</w:t>
            </w:r>
          </w:p>
        </w:tc>
        <w:tc>
          <w:tcPr>
            <w:tcW w:w="1439" w:type="dxa"/>
            <w:tcBorders>
              <w:top w:val="nil"/>
              <w:left w:val="nil"/>
              <w:bottom w:val="single" w:sz="6" w:space="0" w:color="auto"/>
              <w:right w:val="single" w:sz="6" w:space="0" w:color="auto"/>
            </w:tcBorders>
            <w:vAlign w:val="center"/>
            <w:hideMark/>
          </w:tcPr>
          <w:p w14:paraId="2898509B" w14:textId="22A60C50"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$ 9.000.000.000,00</w:t>
            </w:r>
          </w:p>
        </w:tc>
        <w:tc>
          <w:tcPr>
            <w:tcW w:w="1396" w:type="dxa"/>
            <w:tcBorders>
              <w:top w:val="nil"/>
              <w:left w:val="nil"/>
              <w:bottom w:val="single" w:sz="6" w:space="0" w:color="auto"/>
              <w:right w:val="single" w:sz="6" w:space="0" w:color="auto"/>
            </w:tcBorders>
            <w:vAlign w:val="center"/>
            <w:hideMark/>
          </w:tcPr>
          <w:p w14:paraId="765908DF" w14:textId="57332962"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$ 9.000.000.000</w:t>
            </w:r>
          </w:p>
        </w:tc>
        <w:tc>
          <w:tcPr>
            <w:tcW w:w="2593" w:type="dxa"/>
            <w:tcBorders>
              <w:top w:val="nil"/>
              <w:left w:val="nil"/>
              <w:bottom w:val="single" w:sz="6" w:space="0" w:color="auto"/>
              <w:right w:val="single" w:sz="6" w:space="0" w:color="auto"/>
            </w:tcBorders>
            <w:vAlign w:val="center"/>
            <w:hideMark/>
          </w:tcPr>
          <w:p w14:paraId="50B6468D" w14:textId="47747DBC" w:rsidR="006A537F" w:rsidRPr="006A537F" w:rsidRDefault="006A537F" w:rsidP="007C4732">
            <w:pPr>
              <w:jc w:val="center"/>
              <w:rPr>
                <w:rFonts w:ascii="Arial" w:hAnsi="Arial" w:cs="Arial"/>
                <w:sz w:val="16"/>
                <w:szCs w:val="16"/>
                <w:lang w:val="es-MX"/>
              </w:rPr>
            </w:pPr>
            <w:r w:rsidRPr="006A537F">
              <w:rPr>
                <w:rFonts w:ascii="Arial" w:hAnsi="Arial" w:cs="Arial"/>
                <w:sz w:val="16"/>
                <w:szCs w:val="16"/>
              </w:rPr>
              <w:t>Sin observaciones.</w:t>
            </w:r>
          </w:p>
        </w:tc>
      </w:tr>
      <w:tr w:rsidR="003372D3" w:rsidRPr="003372D3" w14:paraId="2FA2ADD7" w14:textId="77777777" w:rsidTr="0034363E">
        <w:trPr>
          <w:trHeight w:val="1065"/>
        </w:trPr>
        <w:tc>
          <w:tcPr>
            <w:tcW w:w="1083" w:type="dxa"/>
            <w:vMerge/>
            <w:tcBorders>
              <w:top w:val="nil"/>
              <w:left w:val="single" w:sz="6" w:space="0" w:color="auto"/>
              <w:bottom w:val="single" w:sz="6" w:space="0" w:color="auto"/>
              <w:right w:val="single" w:sz="6" w:space="0" w:color="auto"/>
            </w:tcBorders>
            <w:vAlign w:val="center"/>
            <w:hideMark/>
          </w:tcPr>
          <w:p w14:paraId="2CFE5647" w14:textId="77777777" w:rsidR="006A537F" w:rsidRPr="006A537F" w:rsidRDefault="006A537F" w:rsidP="006A537F">
            <w:pPr>
              <w:jc w:val="both"/>
              <w:rPr>
                <w:rFonts w:ascii="Arial" w:hAnsi="Arial" w:cs="Arial"/>
                <w:sz w:val="16"/>
                <w:szCs w:val="16"/>
                <w:lang w:val="es-MX"/>
              </w:rPr>
            </w:pPr>
          </w:p>
        </w:tc>
        <w:tc>
          <w:tcPr>
            <w:tcW w:w="1031" w:type="dxa"/>
            <w:vMerge/>
            <w:tcBorders>
              <w:top w:val="nil"/>
              <w:left w:val="single" w:sz="6" w:space="0" w:color="auto"/>
              <w:bottom w:val="single" w:sz="6" w:space="0" w:color="auto"/>
              <w:right w:val="single" w:sz="6" w:space="0" w:color="auto"/>
            </w:tcBorders>
            <w:vAlign w:val="center"/>
            <w:hideMark/>
          </w:tcPr>
          <w:p w14:paraId="3440B557" w14:textId="77777777" w:rsidR="006A537F" w:rsidRPr="006A537F" w:rsidRDefault="006A537F" w:rsidP="006A537F">
            <w:pPr>
              <w:jc w:val="both"/>
              <w:rPr>
                <w:rFonts w:ascii="Arial" w:hAnsi="Arial" w:cs="Arial"/>
                <w:sz w:val="16"/>
                <w:szCs w:val="16"/>
                <w:lang w:val="es-MX"/>
              </w:rPr>
            </w:pPr>
          </w:p>
        </w:tc>
        <w:tc>
          <w:tcPr>
            <w:tcW w:w="1280" w:type="dxa"/>
            <w:tcBorders>
              <w:top w:val="nil"/>
              <w:left w:val="nil"/>
              <w:bottom w:val="single" w:sz="6" w:space="0" w:color="auto"/>
              <w:right w:val="single" w:sz="6" w:space="0" w:color="auto"/>
            </w:tcBorders>
            <w:vAlign w:val="center"/>
            <w:hideMark/>
          </w:tcPr>
          <w:p w14:paraId="31799263" w14:textId="60C78A03"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1.5 Realizar pagos de pasivos exigibles vigencias expiradas</w:t>
            </w:r>
          </w:p>
        </w:tc>
        <w:tc>
          <w:tcPr>
            <w:tcW w:w="1439" w:type="dxa"/>
            <w:tcBorders>
              <w:top w:val="nil"/>
              <w:left w:val="nil"/>
              <w:bottom w:val="single" w:sz="6" w:space="0" w:color="auto"/>
              <w:right w:val="single" w:sz="6" w:space="0" w:color="auto"/>
            </w:tcBorders>
            <w:vAlign w:val="center"/>
            <w:hideMark/>
          </w:tcPr>
          <w:p w14:paraId="1FF1BA41" w14:textId="62068721"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w:t>
            </w:r>
            <w:proofErr w:type="spellStart"/>
            <w:proofErr w:type="gramStart"/>
            <w:r w:rsidRPr="006A537F">
              <w:rPr>
                <w:rFonts w:ascii="Arial" w:hAnsi="Arial" w:cs="Arial"/>
                <w:sz w:val="16"/>
                <w:szCs w:val="16"/>
              </w:rPr>
              <w:t>o,oo</w:t>
            </w:r>
            <w:proofErr w:type="spellEnd"/>
            <w:proofErr w:type="gramEnd"/>
          </w:p>
        </w:tc>
        <w:tc>
          <w:tcPr>
            <w:tcW w:w="1396" w:type="dxa"/>
            <w:tcBorders>
              <w:top w:val="nil"/>
              <w:left w:val="nil"/>
              <w:bottom w:val="single" w:sz="6" w:space="0" w:color="auto"/>
              <w:right w:val="single" w:sz="6" w:space="0" w:color="auto"/>
            </w:tcBorders>
            <w:vAlign w:val="center"/>
            <w:hideMark/>
          </w:tcPr>
          <w:p w14:paraId="178324BC" w14:textId="2F7AE85D"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$ 25.134.673.892</w:t>
            </w:r>
          </w:p>
        </w:tc>
        <w:tc>
          <w:tcPr>
            <w:tcW w:w="2593" w:type="dxa"/>
            <w:tcBorders>
              <w:top w:val="nil"/>
              <w:left w:val="nil"/>
              <w:bottom w:val="single" w:sz="6" w:space="0" w:color="auto"/>
              <w:right w:val="single" w:sz="6" w:space="0" w:color="auto"/>
            </w:tcBorders>
            <w:vAlign w:val="center"/>
            <w:hideMark/>
          </w:tcPr>
          <w:p w14:paraId="1D2500F6" w14:textId="5B086339" w:rsidR="006A537F" w:rsidRPr="006A537F" w:rsidRDefault="006A537F" w:rsidP="007C4732">
            <w:pPr>
              <w:jc w:val="center"/>
              <w:rPr>
                <w:rFonts w:ascii="Arial" w:hAnsi="Arial" w:cs="Arial"/>
                <w:sz w:val="16"/>
                <w:szCs w:val="16"/>
                <w:lang w:val="es-MX"/>
              </w:rPr>
            </w:pPr>
            <w:r w:rsidRPr="006A537F">
              <w:rPr>
                <w:rFonts w:ascii="Arial" w:hAnsi="Arial" w:cs="Arial"/>
                <w:sz w:val="16"/>
                <w:szCs w:val="16"/>
              </w:rPr>
              <w:t>Se realiza la adición de $25.134.673.891,54, proveniente de la actividad "1.3 Realizar la indexación y cierre de los subsidios adjudicados", esto con el fin de dar cumplimiento al pago de las vigencias expiradas y con ello aumentar el indicador secundario.</w:t>
            </w:r>
          </w:p>
        </w:tc>
      </w:tr>
      <w:tr w:rsidR="003372D3" w:rsidRPr="003372D3" w14:paraId="69AB205D" w14:textId="77777777" w:rsidTr="0034363E">
        <w:trPr>
          <w:trHeight w:val="1755"/>
        </w:trPr>
        <w:tc>
          <w:tcPr>
            <w:tcW w:w="1083" w:type="dxa"/>
            <w:vMerge/>
            <w:tcBorders>
              <w:top w:val="nil"/>
              <w:left w:val="single" w:sz="6" w:space="0" w:color="auto"/>
              <w:bottom w:val="single" w:sz="6" w:space="0" w:color="auto"/>
              <w:right w:val="single" w:sz="6" w:space="0" w:color="auto"/>
            </w:tcBorders>
            <w:vAlign w:val="center"/>
            <w:hideMark/>
          </w:tcPr>
          <w:p w14:paraId="0EF3EE18" w14:textId="77777777" w:rsidR="006A537F" w:rsidRPr="006A537F" w:rsidRDefault="006A537F" w:rsidP="006A537F">
            <w:pPr>
              <w:jc w:val="both"/>
              <w:rPr>
                <w:rFonts w:ascii="Arial" w:hAnsi="Arial" w:cs="Arial"/>
                <w:sz w:val="16"/>
                <w:szCs w:val="16"/>
                <w:lang w:val="es-MX"/>
              </w:rPr>
            </w:pPr>
          </w:p>
        </w:tc>
        <w:tc>
          <w:tcPr>
            <w:tcW w:w="1031" w:type="dxa"/>
            <w:vMerge/>
            <w:tcBorders>
              <w:top w:val="nil"/>
              <w:left w:val="single" w:sz="6" w:space="0" w:color="auto"/>
              <w:bottom w:val="single" w:sz="6" w:space="0" w:color="auto"/>
              <w:right w:val="single" w:sz="6" w:space="0" w:color="auto"/>
            </w:tcBorders>
            <w:vAlign w:val="center"/>
            <w:hideMark/>
          </w:tcPr>
          <w:p w14:paraId="3F01D228" w14:textId="77777777" w:rsidR="006A537F" w:rsidRPr="006A537F" w:rsidRDefault="006A537F" w:rsidP="006A537F">
            <w:pPr>
              <w:jc w:val="both"/>
              <w:rPr>
                <w:rFonts w:ascii="Arial" w:hAnsi="Arial" w:cs="Arial"/>
                <w:sz w:val="16"/>
                <w:szCs w:val="16"/>
                <w:lang w:val="es-MX"/>
              </w:rPr>
            </w:pPr>
          </w:p>
        </w:tc>
        <w:tc>
          <w:tcPr>
            <w:tcW w:w="1280" w:type="dxa"/>
            <w:tcBorders>
              <w:top w:val="nil"/>
              <w:left w:val="nil"/>
              <w:bottom w:val="single" w:sz="6" w:space="0" w:color="auto"/>
              <w:right w:val="single" w:sz="6" w:space="0" w:color="auto"/>
            </w:tcBorders>
            <w:vAlign w:val="center"/>
            <w:hideMark/>
          </w:tcPr>
          <w:p w14:paraId="43E80E4A" w14:textId="1930F66E"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1.6 Implementar soluciones de vivienda mediante autogestión, construcción delegada y otras modalidades habilitadas normativamente, para el cierre</w:t>
            </w:r>
          </w:p>
        </w:tc>
        <w:tc>
          <w:tcPr>
            <w:tcW w:w="1439" w:type="dxa"/>
            <w:tcBorders>
              <w:top w:val="nil"/>
              <w:left w:val="nil"/>
              <w:bottom w:val="single" w:sz="6" w:space="0" w:color="auto"/>
              <w:right w:val="single" w:sz="6" w:space="0" w:color="auto"/>
            </w:tcBorders>
            <w:vAlign w:val="center"/>
            <w:hideMark/>
          </w:tcPr>
          <w:p w14:paraId="38790AD8" w14:textId="2720D185"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w:t>
            </w:r>
            <w:r w:rsidR="00AB4CC4">
              <w:rPr>
                <w:rFonts w:ascii="Arial" w:hAnsi="Arial" w:cs="Arial"/>
                <w:sz w:val="16"/>
                <w:szCs w:val="16"/>
              </w:rPr>
              <w:t>0.00</w:t>
            </w:r>
          </w:p>
        </w:tc>
        <w:tc>
          <w:tcPr>
            <w:tcW w:w="1396" w:type="dxa"/>
            <w:tcBorders>
              <w:top w:val="nil"/>
              <w:left w:val="nil"/>
              <w:bottom w:val="single" w:sz="6" w:space="0" w:color="auto"/>
              <w:right w:val="single" w:sz="6" w:space="0" w:color="auto"/>
            </w:tcBorders>
            <w:vAlign w:val="center"/>
            <w:hideMark/>
          </w:tcPr>
          <w:p w14:paraId="16A1D1C5" w14:textId="3FE65D30" w:rsidR="006A537F" w:rsidRPr="006A537F" w:rsidRDefault="006A537F" w:rsidP="003372D3">
            <w:pPr>
              <w:jc w:val="center"/>
              <w:rPr>
                <w:rFonts w:ascii="Arial" w:hAnsi="Arial" w:cs="Arial"/>
                <w:sz w:val="16"/>
                <w:szCs w:val="16"/>
                <w:lang w:val="es-MX"/>
              </w:rPr>
            </w:pPr>
            <w:r w:rsidRPr="006A537F">
              <w:rPr>
                <w:rFonts w:ascii="Arial" w:hAnsi="Arial" w:cs="Arial"/>
                <w:sz w:val="16"/>
                <w:szCs w:val="16"/>
              </w:rPr>
              <w:t>$ 3.669.328.033</w:t>
            </w:r>
          </w:p>
        </w:tc>
        <w:tc>
          <w:tcPr>
            <w:tcW w:w="2593" w:type="dxa"/>
            <w:tcBorders>
              <w:top w:val="nil"/>
              <w:left w:val="nil"/>
              <w:bottom w:val="single" w:sz="6" w:space="0" w:color="auto"/>
              <w:right w:val="single" w:sz="6" w:space="0" w:color="auto"/>
            </w:tcBorders>
            <w:vAlign w:val="center"/>
            <w:hideMark/>
          </w:tcPr>
          <w:p w14:paraId="58F9291D" w14:textId="6BD357F2" w:rsidR="006A537F" w:rsidRPr="006A537F" w:rsidRDefault="006A537F" w:rsidP="007C4732">
            <w:pPr>
              <w:jc w:val="center"/>
              <w:rPr>
                <w:rFonts w:ascii="Arial" w:hAnsi="Arial" w:cs="Arial"/>
                <w:sz w:val="16"/>
                <w:szCs w:val="16"/>
                <w:lang w:val="es-MX"/>
              </w:rPr>
            </w:pPr>
            <w:r w:rsidRPr="006A537F">
              <w:rPr>
                <w:rFonts w:ascii="Arial" w:hAnsi="Arial" w:cs="Arial"/>
                <w:sz w:val="16"/>
                <w:szCs w:val="16"/>
              </w:rPr>
              <w:t>se realiza la adición $3.669.328.032,93, provenientes de las actividades "1.1 Realizar seguimiento a la ejecución del subsidio de VISR" ($419.272.723,47), "1.2 Realizar mantenimiento de plataforma tecnológica de validación de información con herramientas de BI" ($192.772.171,00) y "1.3 Realizar la indexación y cierre de los subsidios adjudicados" ($3.057.283.138,46); lo anterior, con el fin de implementar soluciones de vivienda mediante otras modalidades, encaminadas al cierre del programa de subsidio de VISR.</w:t>
            </w:r>
          </w:p>
        </w:tc>
      </w:tr>
      <w:tr w:rsidR="0034363E" w:rsidRPr="006A537F" w14:paraId="091A75A8" w14:textId="77777777" w:rsidTr="0034363E">
        <w:trPr>
          <w:trHeight w:val="315"/>
        </w:trPr>
        <w:tc>
          <w:tcPr>
            <w:tcW w:w="3394" w:type="dxa"/>
            <w:gridSpan w:val="3"/>
            <w:tcBorders>
              <w:top w:val="nil"/>
              <w:left w:val="single" w:sz="6" w:space="0" w:color="000000"/>
              <w:bottom w:val="single" w:sz="6" w:space="0" w:color="000000"/>
              <w:right w:val="nil"/>
            </w:tcBorders>
            <w:vAlign w:val="center"/>
            <w:hideMark/>
          </w:tcPr>
          <w:p w14:paraId="65058007" w14:textId="2F80EE06" w:rsidR="006A537F" w:rsidRPr="006A537F" w:rsidRDefault="006A537F" w:rsidP="00AB4CC4">
            <w:pPr>
              <w:jc w:val="center"/>
              <w:rPr>
                <w:rFonts w:ascii="Arial" w:hAnsi="Arial" w:cs="Arial"/>
                <w:sz w:val="16"/>
                <w:szCs w:val="16"/>
                <w:lang w:val="es-MX"/>
              </w:rPr>
            </w:pPr>
            <w:proofErr w:type="gramStart"/>
            <w:r w:rsidRPr="006A537F">
              <w:rPr>
                <w:rFonts w:ascii="Arial" w:hAnsi="Arial" w:cs="Arial"/>
                <w:b/>
                <w:bCs/>
                <w:sz w:val="16"/>
                <w:szCs w:val="16"/>
              </w:rPr>
              <w:t>TOTAL</w:t>
            </w:r>
            <w:proofErr w:type="gramEnd"/>
            <w:r w:rsidRPr="006A537F">
              <w:rPr>
                <w:rFonts w:ascii="Arial" w:hAnsi="Arial" w:cs="Arial"/>
                <w:b/>
                <w:bCs/>
                <w:sz w:val="16"/>
                <w:szCs w:val="16"/>
              </w:rPr>
              <w:t> PROYECTO DE INVERSIÓN</w:t>
            </w:r>
          </w:p>
        </w:tc>
        <w:tc>
          <w:tcPr>
            <w:tcW w:w="1439" w:type="dxa"/>
            <w:tcBorders>
              <w:top w:val="nil"/>
              <w:left w:val="single" w:sz="6" w:space="0" w:color="auto"/>
              <w:bottom w:val="single" w:sz="6" w:space="0" w:color="auto"/>
              <w:right w:val="single" w:sz="6" w:space="0" w:color="auto"/>
            </w:tcBorders>
            <w:vAlign w:val="center"/>
            <w:hideMark/>
          </w:tcPr>
          <w:p w14:paraId="1F0D6A21" w14:textId="00382683" w:rsidR="006A537F" w:rsidRPr="006A537F" w:rsidRDefault="006A537F" w:rsidP="00AB4CC4">
            <w:pPr>
              <w:jc w:val="center"/>
              <w:rPr>
                <w:rFonts w:ascii="Arial" w:hAnsi="Arial" w:cs="Arial"/>
                <w:sz w:val="16"/>
                <w:szCs w:val="16"/>
                <w:lang w:val="es-MX"/>
              </w:rPr>
            </w:pPr>
            <w:r w:rsidRPr="006A537F">
              <w:rPr>
                <w:rFonts w:ascii="Arial" w:hAnsi="Arial" w:cs="Arial"/>
                <w:b/>
                <w:bCs/>
                <w:sz w:val="16"/>
                <w:szCs w:val="16"/>
              </w:rPr>
              <w:t>$40.000.000.000,00</w:t>
            </w:r>
          </w:p>
        </w:tc>
        <w:tc>
          <w:tcPr>
            <w:tcW w:w="1396" w:type="dxa"/>
            <w:tcBorders>
              <w:top w:val="nil"/>
              <w:left w:val="nil"/>
              <w:bottom w:val="single" w:sz="6" w:space="0" w:color="auto"/>
              <w:right w:val="single" w:sz="6" w:space="0" w:color="auto"/>
            </w:tcBorders>
            <w:vAlign w:val="center"/>
            <w:hideMark/>
          </w:tcPr>
          <w:p w14:paraId="60AD48CE" w14:textId="052A2A43" w:rsidR="006A537F" w:rsidRPr="006A537F" w:rsidRDefault="006A537F" w:rsidP="00AB4CC4">
            <w:pPr>
              <w:jc w:val="center"/>
              <w:rPr>
                <w:rFonts w:ascii="Arial" w:hAnsi="Arial" w:cs="Arial"/>
                <w:sz w:val="16"/>
                <w:szCs w:val="16"/>
                <w:lang w:val="es-MX"/>
              </w:rPr>
            </w:pPr>
            <w:r w:rsidRPr="006A537F">
              <w:rPr>
                <w:rFonts w:ascii="Arial" w:hAnsi="Arial" w:cs="Arial"/>
                <w:b/>
                <w:bCs/>
                <w:sz w:val="16"/>
                <w:szCs w:val="16"/>
              </w:rPr>
              <w:t>$39.955.783.650</w:t>
            </w:r>
          </w:p>
        </w:tc>
        <w:tc>
          <w:tcPr>
            <w:tcW w:w="2593" w:type="dxa"/>
            <w:tcBorders>
              <w:top w:val="nil"/>
              <w:left w:val="single" w:sz="6" w:space="0" w:color="000000"/>
              <w:bottom w:val="nil"/>
              <w:right w:val="nil"/>
            </w:tcBorders>
            <w:vAlign w:val="center"/>
            <w:hideMark/>
          </w:tcPr>
          <w:p w14:paraId="72CEF859" w14:textId="77777777" w:rsidR="006A537F" w:rsidRPr="006A537F" w:rsidRDefault="006A537F" w:rsidP="006A537F">
            <w:pPr>
              <w:jc w:val="both"/>
              <w:rPr>
                <w:rFonts w:ascii="Arial" w:hAnsi="Arial" w:cs="Arial"/>
                <w:sz w:val="16"/>
                <w:szCs w:val="16"/>
                <w:lang w:val="es-MX"/>
              </w:rPr>
            </w:pPr>
            <w:r w:rsidRPr="006A537F">
              <w:rPr>
                <w:rFonts w:ascii="Arial" w:hAnsi="Arial" w:cs="Arial"/>
                <w:sz w:val="16"/>
                <w:szCs w:val="16"/>
              </w:rPr>
              <w:t> </w:t>
            </w:r>
            <w:r w:rsidRPr="006A537F">
              <w:rPr>
                <w:rFonts w:ascii="Arial" w:hAnsi="Arial" w:cs="Arial"/>
                <w:sz w:val="16"/>
                <w:szCs w:val="16"/>
                <w:lang w:val="es-MX"/>
              </w:rPr>
              <w:t> </w:t>
            </w:r>
          </w:p>
        </w:tc>
      </w:tr>
    </w:tbl>
    <w:p w14:paraId="5720634E" w14:textId="5E3917BB" w:rsidR="006A537F" w:rsidRPr="006A537F" w:rsidRDefault="006A537F" w:rsidP="006277BA">
      <w:pPr>
        <w:jc w:val="center"/>
        <w:rPr>
          <w:rFonts w:ascii="Arial" w:hAnsi="Arial" w:cs="Arial"/>
          <w:sz w:val="18"/>
          <w:szCs w:val="18"/>
          <w:lang w:val="es-MX"/>
        </w:rPr>
      </w:pPr>
      <w:r w:rsidRPr="006A537F">
        <w:rPr>
          <w:rFonts w:ascii="Arial" w:hAnsi="Arial" w:cs="Arial"/>
          <w:sz w:val="18"/>
          <w:szCs w:val="18"/>
        </w:rPr>
        <w:t>Fuente: DGBPR -MADR 31 de diciembre de 2025</w:t>
      </w:r>
    </w:p>
    <w:p w14:paraId="108E86CC"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1B4A3802" w14:textId="7864F046"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ES"/>
        </w:rPr>
        <w:t>La ejecución presupuestal con corte al 31 de diciembre de 2025 de acuerdo con las actividades desarrolladas por parte de la Dirección de Gestión de Bienes Públicos Rurales es la siguiente: </w:t>
      </w:r>
      <w:r w:rsidRPr="006A537F">
        <w:rPr>
          <w:rFonts w:ascii="Arial" w:hAnsi="Arial" w:cs="Arial"/>
          <w:sz w:val="22"/>
          <w:szCs w:val="22"/>
          <w:lang w:val="es-MX"/>
        </w:rPr>
        <w:t> </w:t>
      </w:r>
    </w:p>
    <w:p w14:paraId="095368B1" w14:textId="2927EBCF" w:rsidR="006A537F" w:rsidRDefault="006A537F" w:rsidP="00340BFE">
      <w:pPr>
        <w:jc w:val="center"/>
        <w:rPr>
          <w:rFonts w:ascii="Arial" w:hAnsi="Arial" w:cs="Arial"/>
          <w:sz w:val="22"/>
          <w:szCs w:val="22"/>
          <w:lang w:val="es-ES"/>
        </w:rPr>
      </w:pPr>
      <w:r w:rsidRPr="006A537F">
        <w:rPr>
          <w:rFonts w:ascii="Arial" w:hAnsi="Arial" w:cs="Arial"/>
          <w:sz w:val="22"/>
          <w:szCs w:val="22"/>
        </w:rPr>
        <w:t>Tabla </w:t>
      </w:r>
      <w:r w:rsidR="00340BFE">
        <w:rPr>
          <w:rFonts w:ascii="Arial" w:hAnsi="Arial" w:cs="Arial"/>
          <w:sz w:val="22"/>
          <w:szCs w:val="22"/>
        </w:rPr>
        <w:t>4</w:t>
      </w:r>
      <w:r w:rsidRPr="006A537F">
        <w:rPr>
          <w:rFonts w:ascii="Arial" w:hAnsi="Arial" w:cs="Arial"/>
          <w:sz w:val="22"/>
          <w:szCs w:val="22"/>
        </w:rPr>
        <w:t> </w:t>
      </w:r>
      <w:r w:rsidRPr="006A537F">
        <w:rPr>
          <w:rFonts w:ascii="Arial" w:hAnsi="Arial" w:cs="Arial"/>
          <w:sz w:val="22"/>
          <w:szCs w:val="22"/>
          <w:lang w:val="es-ES"/>
        </w:rPr>
        <w:t>Ejecución Presupuestal</w:t>
      </w:r>
    </w:p>
    <w:p w14:paraId="16686B6D" w14:textId="77777777" w:rsidR="00340BFE" w:rsidRPr="006A537F" w:rsidRDefault="00340BFE" w:rsidP="00340BFE">
      <w:pPr>
        <w:jc w:val="center"/>
        <w:rPr>
          <w:rFonts w:ascii="Arial" w:hAnsi="Arial" w:cs="Arial"/>
          <w:i/>
          <w:iCs/>
          <w:sz w:val="22"/>
          <w:szCs w:val="22"/>
          <w:lang w:val="es-MX"/>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81"/>
        <w:gridCol w:w="2013"/>
        <w:gridCol w:w="2015"/>
        <w:gridCol w:w="2013"/>
      </w:tblGrid>
      <w:tr w:rsidR="006A537F" w:rsidRPr="006A537F" w14:paraId="13844C91" w14:textId="77777777">
        <w:trPr>
          <w:trHeight w:val="255"/>
        </w:trPr>
        <w:tc>
          <w:tcPr>
            <w:tcW w:w="2895"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5FE3F81C" w14:textId="719E983D" w:rsidR="006A537F" w:rsidRPr="006A537F" w:rsidRDefault="006A537F" w:rsidP="00A177BD">
            <w:pPr>
              <w:jc w:val="center"/>
              <w:rPr>
                <w:rFonts w:ascii="Arial" w:hAnsi="Arial" w:cs="Arial"/>
                <w:sz w:val="16"/>
                <w:szCs w:val="16"/>
                <w:lang w:val="es-MX"/>
              </w:rPr>
            </w:pPr>
            <w:r w:rsidRPr="006A537F">
              <w:rPr>
                <w:rFonts w:ascii="Arial" w:hAnsi="Arial" w:cs="Arial"/>
                <w:b/>
                <w:bCs/>
                <w:sz w:val="16"/>
                <w:szCs w:val="16"/>
              </w:rPr>
              <w:t>ACTIVIDAD</w:t>
            </w:r>
          </w:p>
        </w:tc>
        <w:tc>
          <w:tcPr>
            <w:tcW w:w="2070" w:type="dxa"/>
            <w:tcBorders>
              <w:top w:val="single" w:sz="6" w:space="0" w:color="auto"/>
              <w:left w:val="nil"/>
              <w:bottom w:val="single" w:sz="6" w:space="0" w:color="auto"/>
              <w:right w:val="single" w:sz="6" w:space="0" w:color="auto"/>
            </w:tcBorders>
            <w:shd w:val="clear" w:color="auto" w:fill="FFFFFF"/>
            <w:vAlign w:val="center"/>
            <w:hideMark/>
          </w:tcPr>
          <w:p w14:paraId="47B231A6" w14:textId="3E098E95" w:rsidR="006A537F" w:rsidRPr="006A537F" w:rsidRDefault="006A537F" w:rsidP="00A177BD">
            <w:pPr>
              <w:jc w:val="center"/>
              <w:rPr>
                <w:rFonts w:ascii="Arial" w:hAnsi="Arial" w:cs="Arial"/>
                <w:sz w:val="16"/>
                <w:szCs w:val="16"/>
                <w:lang w:val="es-MX"/>
              </w:rPr>
            </w:pPr>
            <w:r w:rsidRPr="006A537F">
              <w:rPr>
                <w:rFonts w:ascii="Arial" w:hAnsi="Arial" w:cs="Arial"/>
                <w:b/>
                <w:bCs/>
                <w:sz w:val="16"/>
                <w:szCs w:val="16"/>
              </w:rPr>
              <w:t>ASIGNACIÓN VIGENTE</w:t>
            </w:r>
          </w:p>
        </w:tc>
        <w:tc>
          <w:tcPr>
            <w:tcW w:w="2070" w:type="dxa"/>
            <w:tcBorders>
              <w:top w:val="single" w:sz="6" w:space="0" w:color="auto"/>
              <w:left w:val="nil"/>
              <w:bottom w:val="single" w:sz="6" w:space="0" w:color="auto"/>
              <w:right w:val="single" w:sz="6" w:space="0" w:color="auto"/>
            </w:tcBorders>
            <w:shd w:val="clear" w:color="auto" w:fill="FFFFFF"/>
            <w:vAlign w:val="center"/>
            <w:hideMark/>
          </w:tcPr>
          <w:p w14:paraId="1A27813A" w14:textId="0FAFC8C4" w:rsidR="006A537F" w:rsidRPr="006A537F" w:rsidRDefault="006A537F" w:rsidP="00A177BD">
            <w:pPr>
              <w:jc w:val="center"/>
              <w:rPr>
                <w:rFonts w:ascii="Arial" w:hAnsi="Arial" w:cs="Arial"/>
                <w:sz w:val="16"/>
                <w:szCs w:val="16"/>
                <w:lang w:val="es-MX"/>
              </w:rPr>
            </w:pPr>
            <w:r w:rsidRPr="006A537F">
              <w:rPr>
                <w:rFonts w:ascii="Arial" w:hAnsi="Arial" w:cs="Arial"/>
                <w:b/>
                <w:bCs/>
                <w:sz w:val="16"/>
                <w:szCs w:val="16"/>
              </w:rPr>
              <w:t>OBLIGACIONES</w:t>
            </w:r>
          </w:p>
        </w:tc>
        <w:tc>
          <w:tcPr>
            <w:tcW w:w="2070" w:type="dxa"/>
            <w:tcBorders>
              <w:top w:val="single" w:sz="6" w:space="0" w:color="auto"/>
              <w:left w:val="nil"/>
              <w:bottom w:val="single" w:sz="6" w:space="0" w:color="auto"/>
              <w:right w:val="single" w:sz="6" w:space="0" w:color="auto"/>
            </w:tcBorders>
            <w:shd w:val="clear" w:color="auto" w:fill="FFFFFF"/>
            <w:vAlign w:val="center"/>
            <w:hideMark/>
          </w:tcPr>
          <w:p w14:paraId="78955254" w14:textId="65B5CA7D" w:rsidR="006A537F" w:rsidRPr="006A537F" w:rsidRDefault="006A537F" w:rsidP="00A177BD">
            <w:pPr>
              <w:jc w:val="center"/>
              <w:rPr>
                <w:rFonts w:ascii="Arial" w:hAnsi="Arial" w:cs="Arial"/>
                <w:sz w:val="16"/>
                <w:szCs w:val="16"/>
                <w:lang w:val="es-MX"/>
              </w:rPr>
            </w:pPr>
            <w:r w:rsidRPr="006A537F">
              <w:rPr>
                <w:rFonts w:ascii="Arial" w:hAnsi="Arial" w:cs="Arial"/>
                <w:b/>
                <w:bCs/>
                <w:sz w:val="16"/>
                <w:szCs w:val="16"/>
              </w:rPr>
              <w:t>PAGADO</w:t>
            </w:r>
          </w:p>
        </w:tc>
      </w:tr>
      <w:tr w:rsidR="006A537F" w:rsidRPr="006A537F" w14:paraId="14CE0042" w14:textId="77777777">
        <w:trPr>
          <w:trHeight w:val="450"/>
        </w:trPr>
        <w:tc>
          <w:tcPr>
            <w:tcW w:w="2895" w:type="dxa"/>
            <w:tcBorders>
              <w:top w:val="nil"/>
              <w:left w:val="single" w:sz="6" w:space="0" w:color="auto"/>
              <w:bottom w:val="single" w:sz="6" w:space="0" w:color="auto"/>
              <w:right w:val="single" w:sz="6" w:space="0" w:color="auto"/>
            </w:tcBorders>
            <w:shd w:val="clear" w:color="auto" w:fill="FFFFFF"/>
            <w:vAlign w:val="center"/>
            <w:hideMark/>
          </w:tcPr>
          <w:p w14:paraId="557A0774" w14:textId="6C435C36"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1.1.1 Realizar seguimiento a la ejecución del subsidio de VISR</w:t>
            </w:r>
          </w:p>
        </w:tc>
        <w:tc>
          <w:tcPr>
            <w:tcW w:w="2070" w:type="dxa"/>
            <w:tcBorders>
              <w:top w:val="nil"/>
              <w:left w:val="nil"/>
              <w:bottom w:val="single" w:sz="6" w:space="0" w:color="auto"/>
              <w:right w:val="single" w:sz="6" w:space="0" w:color="auto"/>
            </w:tcBorders>
            <w:shd w:val="clear" w:color="auto" w:fill="FFFFFF"/>
            <w:vAlign w:val="bottom"/>
            <w:hideMark/>
          </w:tcPr>
          <w:p w14:paraId="457CD07F" w14:textId="32FF126A"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$2.151.781.726</w:t>
            </w:r>
          </w:p>
        </w:tc>
        <w:tc>
          <w:tcPr>
            <w:tcW w:w="2070" w:type="dxa"/>
            <w:tcBorders>
              <w:top w:val="nil"/>
              <w:left w:val="nil"/>
              <w:bottom w:val="single" w:sz="6" w:space="0" w:color="auto"/>
              <w:right w:val="single" w:sz="6" w:space="0" w:color="auto"/>
            </w:tcBorders>
            <w:shd w:val="clear" w:color="auto" w:fill="FFFFFF"/>
            <w:vAlign w:val="bottom"/>
            <w:hideMark/>
          </w:tcPr>
          <w:p w14:paraId="60576C6E" w14:textId="7CFF642B"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$1.695.072.054</w:t>
            </w:r>
          </w:p>
        </w:tc>
        <w:tc>
          <w:tcPr>
            <w:tcW w:w="2070" w:type="dxa"/>
            <w:tcBorders>
              <w:top w:val="nil"/>
              <w:left w:val="nil"/>
              <w:bottom w:val="single" w:sz="6" w:space="0" w:color="auto"/>
              <w:right w:val="single" w:sz="6" w:space="0" w:color="auto"/>
            </w:tcBorders>
            <w:shd w:val="clear" w:color="auto" w:fill="FFFFFF"/>
            <w:vAlign w:val="bottom"/>
            <w:hideMark/>
          </w:tcPr>
          <w:p w14:paraId="14E79F11" w14:textId="6CB2D2DC"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$1.695.072.054</w:t>
            </w:r>
          </w:p>
        </w:tc>
      </w:tr>
      <w:tr w:rsidR="006A537F" w:rsidRPr="006A537F" w14:paraId="11C0B09B" w14:textId="77777777">
        <w:trPr>
          <w:trHeight w:val="705"/>
        </w:trPr>
        <w:tc>
          <w:tcPr>
            <w:tcW w:w="2895" w:type="dxa"/>
            <w:tcBorders>
              <w:top w:val="nil"/>
              <w:left w:val="single" w:sz="6" w:space="0" w:color="auto"/>
              <w:bottom w:val="single" w:sz="6" w:space="0" w:color="auto"/>
              <w:right w:val="single" w:sz="6" w:space="0" w:color="auto"/>
            </w:tcBorders>
            <w:shd w:val="clear" w:color="auto" w:fill="FFFFFF"/>
            <w:vAlign w:val="bottom"/>
            <w:hideMark/>
          </w:tcPr>
          <w:p w14:paraId="3DEC967B" w14:textId="6F356DCA"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1.1.2 Realizar mantenimiento de plataforma tecnológica de validación de información con herramientas de BI</w:t>
            </w:r>
          </w:p>
        </w:tc>
        <w:tc>
          <w:tcPr>
            <w:tcW w:w="2070" w:type="dxa"/>
            <w:tcBorders>
              <w:top w:val="nil"/>
              <w:left w:val="nil"/>
              <w:bottom w:val="single" w:sz="6" w:space="0" w:color="auto"/>
              <w:right w:val="single" w:sz="6" w:space="0" w:color="auto"/>
            </w:tcBorders>
            <w:shd w:val="clear" w:color="auto" w:fill="FFFFFF"/>
            <w:vAlign w:val="bottom"/>
            <w:hideMark/>
          </w:tcPr>
          <w:p w14:paraId="3855B07F" w14:textId="558A7F76"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   -</w:t>
            </w:r>
          </w:p>
        </w:tc>
        <w:tc>
          <w:tcPr>
            <w:tcW w:w="2070" w:type="dxa"/>
            <w:tcBorders>
              <w:top w:val="nil"/>
              <w:left w:val="nil"/>
              <w:bottom w:val="single" w:sz="6" w:space="0" w:color="auto"/>
              <w:right w:val="single" w:sz="6" w:space="0" w:color="auto"/>
            </w:tcBorders>
            <w:shd w:val="clear" w:color="auto" w:fill="FFFFFF"/>
            <w:vAlign w:val="bottom"/>
            <w:hideMark/>
          </w:tcPr>
          <w:p w14:paraId="4A60BA5F" w14:textId="5B3B96DA"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 </w:t>
            </w:r>
          </w:p>
        </w:tc>
        <w:tc>
          <w:tcPr>
            <w:tcW w:w="2070" w:type="dxa"/>
            <w:tcBorders>
              <w:top w:val="nil"/>
              <w:left w:val="nil"/>
              <w:bottom w:val="single" w:sz="6" w:space="0" w:color="auto"/>
              <w:right w:val="single" w:sz="6" w:space="0" w:color="auto"/>
            </w:tcBorders>
            <w:shd w:val="clear" w:color="auto" w:fill="FFFFFF"/>
            <w:vAlign w:val="bottom"/>
            <w:hideMark/>
          </w:tcPr>
          <w:p w14:paraId="7BDABE3A" w14:textId="181722A8"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 </w:t>
            </w:r>
          </w:p>
        </w:tc>
      </w:tr>
      <w:tr w:rsidR="006A537F" w:rsidRPr="006A537F" w14:paraId="0CA574E1" w14:textId="77777777">
        <w:trPr>
          <w:trHeight w:val="435"/>
        </w:trPr>
        <w:tc>
          <w:tcPr>
            <w:tcW w:w="2895" w:type="dxa"/>
            <w:tcBorders>
              <w:top w:val="nil"/>
              <w:left w:val="single" w:sz="6" w:space="0" w:color="auto"/>
              <w:bottom w:val="single" w:sz="6" w:space="0" w:color="auto"/>
              <w:right w:val="single" w:sz="6" w:space="0" w:color="auto"/>
            </w:tcBorders>
            <w:shd w:val="clear" w:color="auto" w:fill="FFFFFF"/>
            <w:vAlign w:val="bottom"/>
            <w:hideMark/>
          </w:tcPr>
          <w:p w14:paraId="2843F5C3" w14:textId="6FC1C70E"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1.1.3 Indexación y Cierre de Subsidios Adjudicados</w:t>
            </w:r>
          </w:p>
        </w:tc>
        <w:tc>
          <w:tcPr>
            <w:tcW w:w="2070" w:type="dxa"/>
            <w:tcBorders>
              <w:top w:val="nil"/>
              <w:left w:val="nil"/>
              <w:bottom w:val="single" w:sz="6" w:space="0" w:color="auto"/>
              <w:right w:val="single" w:sz="6" w:space="0" w:color="auto"/>
            </w:tcBorders>
            <w:shd w:val="clear" w:color="auto" w:fill="FFFFFF"/>
            <w:vAlign w:val="bottom"/>
            <w:hideMark/>
          </w:tcPr>
          <w:p w14:paraId="5238104E" w14:textId="3D48BDC4"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   -</w:t>
            </w:r>
          </w:p>
        </w:tc>
        <w:tc>
          <w:tcPr>
            <w:tcW w:w="2070" w:type="dxa"/>
            <w:tcBorders>
              <w:top w:val="nil"/>
              <w:left w:val="nil"/>
              <w:bottom w:val="single" w:sz="6" w:space="0" w:color="auto"/>
              <w:right w:val="single" w:sz="6" w:space="0" w:color="auto"/>
            </w:tcBorders>
            <w:shd w:val="clear" w:color="auto" w:fill="FFFFFF"/>
            <w:vAlign w:val="bottom"/>
            <w:hideMark/>
          </w:tcPr>
          <w:p w14:paraId="4BD671B4" w14:textId="25368858"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 </w:t>
            </w:r>
          </w:p>
        </w:tc>
        <w:tc>
          <w:tcPr>
            <w:tcW w:w="2070" w:type="dxa"/>
            <w:tcBorders>
              <w:top w:val="nil"/>
              <w:left w:val="nil"/>
              <w:bottom w:val="single" w:sz="6" w:space="0" w:color="auto"/>
              <w:right w:val="single" w:sz="6" w:space="0" w:color="auto"/>
            </w:tcBorders>
            <w:shd w:val="clear" w:color="auto" w:fill="FFFFFF"/>
            <w:vAlign w:val="bottom"/>
            <w:hideMark/>
          </w:tcPr>
          <w:p w14:paraId="7CD4D968" w14:textId="38196DEA"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 </w:t>
            </w:r>
          </w:p>
        </w:tc>
      </w:tr>
      <w:tr w:rsidR="006A537F" w:rsidRPr="006A537F" w14:paraId="1BB74745" w14:textId="77777777">
        <w:trPr>
          <w:trHeight w:val="705"/>
        </w:trPr>
        <w:tc>
          <w:tcPr>
            <w:tcW w:w="2895" w:type="dxa"/>
            <w:tcBorders>
              <w:top w:val="nil"/>
              <w:left w:val="single" w:sz="6" w:space="0" w:color="auto"/>
              <w:bottom w:val="single" w:sz="6" w:space="0" w:color="auto"/>
              <w:right w:val="single" w:sz="6" w:space="0" w:color="auto"/>
            </w:tcBorders>
            <w:shd w:val="clear" w:color="auto" w:fill="FFFFFF"/>
            <w:vAlign w:val="bottom"/>
            <w:hideMark/>
          </w:tcPr>
          <w:p w14:paraId="42818639" w14:textId="77FE5AD8"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1.1.4 Realizar Auditoría externa o evaluación del Programa de Vivienda de interés social rural</w:t>
            </w:r>
          </w:p>
        </w:tc>
        <w:tc>
          <w:tcPr>
            <w:tcW w:w="2070" w:type="dxa"/>
            <w:tcBorders>
              <w:top w:val="nil"/>
              <w:left w:val="nil"/>
              <w:bottom w:val="single" w:sz="6" w:space="0" w:color="auto"/>
              <w:right w:val="single" w:sz="6" w:space="0" w:color="auto"/>
            </w:tcBorders>
            <w:shd w:val="clear" w:color="auto" w:fill="FFFFFF"/>
            <w:vAlign w:val="bottom"/>
            <w:hideMark/>
          </w:tcPr>
          <w:p w14:paraId="7E07122B" w14:textId="23502AE6"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$ 9.000.000.000</w:t>
            </w:r>
          </w:p>
        </w:tc>
        <w:tc>
          <w:tcPr>
            <w:tcW w:w="2070" w:type="dxa"/>
            <w:tcBorders>
              <w:top w:val="nil"/>
              <w:left w:val="nil"/>
              <w:bottom w:val="single" w:sz="6" w:space="0" w:color="auto"/>
              <w:right w:val="single" w:sz="6" w:space="0" w:color="auto"/>
            </w:tcBorders>
            <w:shd w:val="clear" w:color="auto" w:fill="FFFFFF"/>
            <w:vAlign w:val="bottom"/>
            <w:hideMark/>
          </w:tcPr>
          <w:p w14:paraId="7050F72D" w14:textId="2AA4D143"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$5.400.000.000</w:t>
            </w:r>
          </w:p>
        </w:tc>
        <w:tc>
          <w:tcPr>
            <w:tcW w:w="2070" w:type="dxa"/>
            <w:tcBorders>
              <w:top w:val="nil"/>
              <w:left w:val="nil"/>
              <w:bottom w:val="single" w:sz="6" w:space="0" w:color="auto"/>
              <w:right w:val="single" w:sz="6" w:space="0" w:color="auto"/>
            </w:tcBorders>
            <w:shd w:val="clear" w:color="auto" w:fill="FFFFFF"/>
            <w:vAlign w:val="bottom"/>
            <w:hideMark/>
          </w:tcPr>
          <w:p w14:paraId="6D27676A" w14:textId="0FFCAEA4"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$5.400.000.000</w:t>
            </w:r>
          </w:p>
        </w:tc>
      </w:tr>
      <w:tr w:rsidR="006A537F" w:rsidRPr="006A537F" w14:paraId="5F1AEC0F" w14:textId="77777777">
        <w:trPr>
          <w:trHeight w:val="450"/>
        </w:trPr>
        <w:tc>
          <w:tcPr>
            <w:tcW w:w="2895" w:type="dxa"/>
            <w:tcBorders>
              <w:top w:val="nil"/>
              <w:left w:val="single" w:sz="6" w:space="0" w:color="auto"/>
              <w:bottom w:val="single" w:sz="6" w:space="0" w:color="auto"/>
              <w:right w:val="single" w:sz="6" w:space="0" w:color="auto"/>
            </w:tcBorders>
            <w:shd w:val="clear" w:color="auto" w:fill="FFFFFF"/>
            <w:vAlign w:val="bottom"/>
            <w:hideMark/>
          </w:tcPr>
          <w:p w14:paraId="6135DBFC" w14:textId="73F00CEC"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1.1.5 Realizar pagos de pasivos exigibles - Vigencias Expiradas</w:t>
            </w:r>
          </w:p>
        </w:tc>
        <w:tc>
          <w:tcPr>
            <w:tcW w:w="2070" w:type="dxa"/>
            <w:tcBorders>
              <w:top w:val="nil"/>
              <w:left w:val="nil"/>
              <w:bottom w:val="single" w:sz="6" w:space="0" w:color="auto"/>
              <w:right w:val="single" w:sz="6" w:space="0" w:color="auto"/>
            </w:tcBorders>
            <w:shd w:val="clear" w:color="auto" w:fill="FFFFFF"/>
            <w:vAlign w:val="bottom"/>
            <w:hideMark/>
          </w:tcPr>
          <w:p w14:paraId="6A453C0B" w14:textId="6BC47F00"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$25.134.673.892</w:t>
            </w:r>
          </w:p>
        </w:tc>
        <w:tc>
          <w:tcPr>
            <w:tcW w:w="2070" w:type="dxa"/>
            <w:tcBorders>
              <w:top w:val="nil"/>
              <w:left w:val="nil"/>
              <w:bottom w:val="single" w:sz="6" w:space="0" w:color="auto"/>
              <w:right w:val="single" w:sz="6" w:space="0" w:color="auto"/>
            </w:tcBorders>
            <w:shd w:val="clear" w:color="auto" w:fill="FFFFFF"/>
            <w:vAlign w:val="bottom"/>
            <w:hideMark/>
          </w:tcPr>
          <w:p w14:paraId="7D1D689B" w14:textId="4A06D406"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$25.134.673.892</w:t>
            </w:r>
          </w:p>
        </w:tc>
        <w:tc>
          <w:tcPr>
            <w:tcW w:w="2070" w:type="dxa"/>
            <w:tcBorders>
              <w:top w:val="nil"/>
              <w:left w:val="nil"/>
              <w:bottom w:val="single" w:sz="6" w:space="0" w:color="auto"/>
              <w:right w:val="single" w:sz="6" w:space="0" w:color="auto"/>
            </w:tcBorders>
            <w:shd w:val="clear" w:color="auto" w:fill="FFFFFF"/>
            <w:vAlign w:val="bottom"/>
            <w:hideMark/>
          </w:tcPr>
          <w:p w14:paraId="6C42F0C0" w14:textId="0300C239"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$25.134.673.892</w:t>
            </w:r>
          </w:p>
        </w:tc>
      </w:tr>
      <w:tr w:rsidR="006A537F" w:rsidRPr="006A537F" w14:paraId="07AF2F9E" w14:textId="77777777">
        <w:trPr>
          <w:trHeight w:val="705"/>
        </w:trPr>
        <w:tc>
          <w:tcPr>
            <w:tcW w:w="2895" w:type="dxa"/>
            <w:tcBorders>
              <w:top w:val="nil"/>
              <w:left w:val="single" w:sz="6" w:space="0" w:color="auto"/>
              <w:bottom w:val="single" w:sz="6" w:space="0" w:color="auto"/>
              <w:right w:val="single" w:sz="6" w:space="0" w:color="auto"/>
            </w:tcBorders>
            <w:shd w:val="clear" w:color="auto" w:fill="FFFFFF"/>
            <w:vAlign w:val="bottom"/>
            <w:hideMark/>
          </w:tcPr>
          <w:p w14:paraId="26DEF476" w14:textId="5B2CAEB2"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1.1.6 Implementar soluciones de vivienda mediante autogestión, construcción delegada y otras modalidades habilitadas normativamente, para el cierre</w:t>
            </w:r>
          </w:p>
        </w:tc>
        <w:tc>
          <w:tcPr>
            <w:tcW w:w="2070" w:type="dxa"/>
            <w:tcBorders>
              <w:top w:val="nil"/>
              <w:left w:val="nil"/>
              <w:bottom w:val="single" w:sz="6" w:space="0" w:color="auto"/>
              <w:right w:val="single" w:sz="6" w:space="0" w:color="auto"/>
            </w:tcBorders>
            <w:shd w:val="clear" w:color="auto" w:fill="FFFFFF"/>
            <w:vAlign w:val="bottom"/>
            <w:hideMark/>
          </w:tcPr>
          <w:p w14:paraId="525513C1" w14:textId="4F27C897"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$3.669.328.033</w:t>
            </w:r>
          </w:p>
        </w:tc>
        <w:tc>
          <w:tcPr>
            <w:tcW w:w="2070" w:type="dxa"/>
            <w:tcBorders>
              <w:top w:val="nil"/>
              <w:left w:val="nil"/>
              <w:bottom w:val="single" w:sz="6" w:space="0" w:color="auto"/>
              <w:right w:val="single" w:sz="6" w:space="0" w:color="auto"/>
            </w:tcBorders>
            <w:shd w:val="clear" w:color="auto" w:fill="FFFFFF"/>
            <w:vAlign w:val="bottom"/>
            <w:hideMark/>
          </w:tcPr>
          <w:p w14:paraId="24E3B87E" w14:textId="45C38574"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 </w:t>
            </w:r>
          </w:p>
        </w:tc>
        <w:tc>
          <w:tcPr>
            <w:tcW w:w="2070" w:type="dxa"/>
            <w:tcBorders>
              <w:top w:val="nil"/>
              <w:left w:val="nil"/>
              <w:bottom w:val="single" w:sz="6" w:space="0" w:color="auto"/>
              <w:right w:val="single" w:sz="6" w:space="0" w:color="auto"/>
            </w:tcBorders>
            <w:shd w:val="clear" w:color="auto" w:fill="FFFFFF"/>
            <w:vAlign w:val="bottom"/>
            <w:hideMark/>
          </w:tcPr>
          <w:p w14:paraId="4F298A65" w14:textId="78E380B0" w:rsidR="006A537F" w:rsidRPr="006A537F" w:rsidRDefault="006A537F" w:rsidP="00A177BD">
            <w:pPr>
              <w:jc w:val="center"/>
              <w:rPr>
                <w:rFonts w:ascii="Arial" w:hAnsi="Arial" w:cs="Arial"/>
                <w:sz w:val="16"/>
                <w:szCs w:val="16"/>
                <w:lang w:val="es-MX"/>
              </w:rPr>
            </w:pPr>
            <w:r w:rsidRPr="006A537F">
              <w:rPr>
                <w:rFonts w:ascii="Arial" w:hAnsi="Arial" w:cs="Arial"/>
                <w:sz w:val="16"/>
                <w:szCs w:val="16"/>
              </w:rPr>
              <w:t> </w:t>
            </w:r>
          </w:p>
        </w:tc>
      </w:tr>
      <w:tr w:rsidR="006A537F" w:rsidRPr="006A537F" w14:paraId="586AAF94" w14:textId="77777777">
        <w:trPr>
          <w:trHeight w:val="495"/>
        </w:trPr>
        <w:tc>
          <w:tcPr>
            <w:tcW w:w="2895" w:type="dxa"/>
            <w:tcBorders>
              <w:top w:val="nil"/>
              <w:left w:val="single" w:sz="6" w:space="0" w:color="auto"/>
              <w:bottom w:val="single" w:sz="6" w:space="0" w:color="auto"/>
              <w:right w:val="single" w:sz="6" w:space="0" w:color="auto"/>
            </w:tcBorders>
            <w:shd w:val="clear" w:color="auto" w:fill="FFFFFF"/>
            <w:vAlign w:val="bottom"/>
            <w:hideMark/>
          </w:tcPr>
          <w:p w14:paraId="66C27B97" w14:textId="5C36D155" w:rsidR="006A537F" w:rsidRPr="006A537F" w:rsidRDefault="006A537F" w:rsidP="00A177BD">
            <w:pPr>
              <w:jc w:val="center"/>
              <w:rPr>
                <w:rFonts w:ascii="Arial" w:hAnsi="Arial" w:cs="Arial"/>
                <w:sz w:val="16"/>
                <w:szCs w:val="16"/>
                <w:lang w:val="es-MX"/>
              </w:rPr>
            </w:pPr>
            <w:r w:rsidRPr="006A537F">
              <w:rPr>
                <w:rFonts w:ascii="Arial" w:hAnsi="Arial" w:cs="Arial"/>
                <w:b/>
                <w:bCs/>
                <w:sz w:val="16"/>
                <w:szCs w:val="16"/>
              </w:rPr>
              <w:t>TOTAL</w:t>
            </w:r>
          </w:p>
        </w:tc>
        <w:tc>
          <w:tcPr>
            <w:tcW w:w="2070" w:type="dxa"/>
            <w:tcBorders>
              <w:top w:val="nil"/>
              <w:left w:val="nil"/>
              <w:bottom w:val="single" w:sz="6" w:space="0" w:color="auto"/>
              <w:right w:val="single" w:sz="6" w:space="0" w:color="auto"/>
            </w:tcBorders>
            <w:shd w:val="clear" w:color="auto" w:fill="FFFFFF"/>
            <w:vAlign w:val="bottom"/>
            <w:hideMark/>
          </w:tcPr>
          <w:p w14:paraId="4E0C3CBA" w14:textId="7B4C89D5" w:rsidR="006A537F" w:rsidRPr="006A537F" w:rsidRDefault="006A537F" w:rsidP="00A177BD">
            <w:pPr>
              <w:jc w:val="center"/>
              <w:rPr>
                <w:rFonts w:ascii="Arial" w:hAnsi="Arial" w:cs="Arial"/>
                <w:sz w:val="16"/>
                <w:szCs w:val="16"/>
                <w:lang w:val="es-MX"/>
              </w:rPr>
            </w:pPr>
            <w:r w:rsidRPr="006A537F">
              <w:rPr>
                <w:rFonts w:ascii="Arial" w:hAnsi="Arial" w:cs="Arial"/>
                <w:b/>
                <w:bCs/>
                <w:sz w:val="16"/>
                <w:szCs w:val="16"/>
              </w:rPr>
              <w:t>$39.955.783.650</w:t>
            </w:r>
          </w:p>
        </w:tc>
        <w:tc>
          <w:tcPr>
            <w:tcW w:w="2070" w:type="dxa"/>
            <w:tcBorders>
              <w:top w:val="nil"/>
              <w:left w:val="nil"/>
              <w:bottom w:val="single" w:sz="6" w:space="0" w:color="auto"/>
              <w:right w:val="single" w:sz="6" w:space="0" w:color="auto"/>
            </w:tcBorders>
            <w:shd w:val="clear" w:color="auto" w:fill="FFFFFF"/>
            <w:vAlign w:val="bottom"/>
            <w:hideMark/>
          </w:tcPr>
          <w:p w14:paraId="4682827D" w14:textId="535B2704" w:rsidR="006A537F" w:rsidRPr="006A537F" w:rsidRDefault="006A537F" w:rsidP="00A177BD">
            <w:pPr>
              <w:jc w:val="center"/>
              <w:rPr>
                <w:rFonts w:ascii="Arial" w:hAnsi="Arial" w:cs="Arial"/>
                <w:sz w:val="16"/>
                <w:szCs w:val="16"/>
                <w:lang w:val="es-MX"/>
              </w:rPr>
            </w:pPr>
            <w:r w:rsidRPr="006A537F">
              <w:rPr>
                <w:rFonts w:ascii="Arial" w:hAnsi="Arial" w:cs="Arial"/>
                <w:b/>
                <w:bCs/>
                <w:sz w:val="16"/>
                <w:szCs w:val="16"/>
              </w:rPr>
              <w:t>$32.229.745.946</w:t>
            </w:r>
          </w:p>
        </w:tc>
        <w:tc>
          <w:tcPr>
            <w:tcW w:w="2070" w:type="dxa"/>
            <w:tcBorders>
              <w:top w:val="nil"/>
              <w:left w:val="nil"/>
              <w:bottom w:val="single" w:sz="6" w:space="0" w:color="auto"/>
              <w:right w:val="single" w:sz="6" w:space="0" w:color="auto"/>
            </w:tcBorders>
            <w:shd w:val="clear" w:color="auto" w:fill="FFFFFF"/>
            <w:vAlign w:val="bottom"/>
            <w:hideMark/>
          </w:tcPr>
          <w:p w14:paraId="17D4C3DD" w14:textId="7160F5DC" w:rsidR="006A537F" w:rsidRPr="006A537F" w:rsidRDefault="006A537F" w:rsidP="00A177BD">
            <w:pPr>
              <w:jc w:val="center"/>
              <w:rPr>
                <w:rFonts w:ascii="Arial" w:hAnsi="Arial" w:cs="Arial"/>
                <w:sz w:val="16"/>
                <w:szCs w:val="16"/>
                <w:lang w:val="es-MX"/>
              </w:rPr>
            </w:pPr>
            <w:r w:rsidRPr="006A537F">
              <w:rPr>
                <w:rFonts w:ascii="Arial" w:hAnsi="Arial" w:cs="Arial"/>
                <w:b/>
                <w:bCs/>
                <w:sz w:val="16"/>
                <w:szCs w:val="16"/>
              </w:rPr>
              <w:t>$32.229.745.946</w:t>
            </w:r>
          </w:p>
        </w:tc>
      </w:tr>
    </w:tbl>
    <w:p w14:paraId="0FDEA6BF" w14:textId="4F504F61" w:rsidR="006A537F" w:rsidRPr="006A537F" w:rsidRDefault="006A537F" w:rsidP="006277BA">
      <w:pPr>
        <w:jc w:val="center"/>
        <w:rPr>
          <w:rFonts w:ascii="Arial" w:hAnsi="Arial" w:cs="Arial"/>
          <w:sz w:val="18"/>
          <w:szCs w:val="18"/>
          <w:lang w:val="es-MX"/>
        </w:rPr>
      </w:pPr>
      <w:r w:rsidRPr="006A537F">
        <w:rPr>
          <w:rFonts w:ascii="Arial" w:hAnsi="Arial" w:cs="Arial"/>
          <w:sz w:val="18"/>
          <w:szCs w:val="18"/>
        </w:rPr>
        <w:t>Fuente: DGBPR -MADR 31 de diciembre de 2025</w:t>
      </w:r>
    </w:p>
    <w:p w14:paraId="6BAFA907"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565B198D" w14:textId="38A6C12A"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ES"/>
        </w:rPr>
        <w:t>Ahora bien, se </w:t>
      </w:r>
      <w:r w:rsidR="00B3063E">
        <w:rPr>
          <w:rFonts w:ascii="Arial" w:hAnsi="Arial" w:cs="Arial"/>
          <w:sz w:val="22"/>
          <w:szCs w:val="22"/>
          <w:lang w:val="es-ES"/>
        </w:rPr>
        <w:t>constituy</w:t>
      </w:r>
      <w:r w:rsidR="006277BA">
        <w:rPr>
          <w:rFonts w:ascii="Arial" w:hAnsi="Arial" w:cs="Arial"/>
          <w:sz w:val="22"/>
          <w:szCs w:val="22"/>
          <w:lang w:val="es-ES"/>
        </w:rPr>
        <w:t>ó</w:t>
      </w:r>
      <w:r w:rsidRPr="006A537F">
        <w:rPr>
          <w:rFonts w:ascii="Arial" w:hAnsi="Arial" w:cs="Arial"/>
          <w:sz w:val="22"/>
          <w:szCs w:val="22"/>
          <w:lang w:val="es-ES"/>
        </w:rPr>
        <w:t> reserva presupuestal por</w:t>
      </w:r>
      <w:r w:rsidR="006277BA">
        <w:rPr>
          <w:rFonts w:ascii="Arial" w:hAnsi="Arial" w:cs="Arial"/>
          <w:sz w:val="22"/>
          <w:szCs w:val="22"/>
          <w:lang w:val="es-ES"/>
        </w:rPr>
        <w:t xml:space="preserve"> </w:t>
      </w:r>
      <w:r w:rsidRPr="006A537F">
        <w:rPr>
          <w:rFonts w:ascii="Arial" w:hAnsi="Arial" w:cs="Arial"/>
          <w:sz w:val="22"/>
          <w:szCs w:val="22"/>
          <w:lang w:val="es-ES"/>
        </w:rPr>
        <w:t>valor</w:t>
      </w:r>
      <w:r w:rsidR="006277BA">
        <w:rPr>
          <w:rFonts w:ascii="Arial" w:hAnsi="Arial" w:cs="Arial"/>
          <w:sz w:val="22"/>
          <w:szCs w:val="22"/>
          <w:lang w:val="es-ES"/>
        </w:rPr>
        <w:t xml:space="preserve"> </w:t>
      </w:r>
      <w:r w:rsidRPr="006A537F">
        <w:rPr>
          <w:rFonts w:ascii="Arial" w:hAnsi="Arial" w:cs="Arial"/>
          <w:sz w:val="22"/>
          <w:szCs w:val="22"/>
          <w:lang w:val="es-ES"/>
        </w:rPr>
        <w:t>de $6.154.143.537</w:t>
      </w:r>
      <w:r w:rsidR="00B3063E">
        <w:rPr>
          <w:rFonts w:ascii="Arial" w:hAnsi="Arial" w:cs="Arial"/>
          <w:sz w:val="22"/>
          <w:szCs w:val="22"/>
          <w:lang w:val="es-ES"/>
        </w:rPr>
        <w:t xml:space="preserve"> verificadas </w:t>
      </w:r>
      <w:r w:rsidR="00F81E9B">
        <w:rPr>
          <w:rFonts w:ascii="Arial" w:hAnsi="Arial" w:cs="Arial"/>
          <w:sz w:val="22"/>
          <w:szCs w:val="22"/>
          <w:lang w:val="es-ES"/>
        </w:rPr>
        <w:t xml:space="preserve">al mes de </w:t>
      </w:r>
      <w:r w:rsidRPr="006A537F">
        <w:rPr>
          <w:rFonts w:ascii="Arial" w:hAnsi="Arial" w:cs="Arial"/>
          <w:sz w:val="22"/>
          <w:szCs w:val="22"/>
          <w:lang w:val="es-ES"/>
        </w:rPr>
        <w:t>febrero 2026</w:t>
      </w:r>
      <w:r w:rsidR="00F81E9B">
        <w:rPr>
          <w:rFonts w:ascii="Arial" w:hAnsi="Arial" w:cs="Arial"/>
          <w:sz w:val="22"/>
          <w:szCs w:val="22"/>
          <w:lang w:val="es-ES"/>
        </w:rPr>
        <w:t>, se registra el cierre de la vigencia 2025, así</w:t>
      </w:r>
      <w:r w:rsidRPr="006A537F">
        <w:rPr>
          <w:rFonts w:ascii="Arial" w:hAnsi="Arial" w:cs="Arial"/>
          <w:sz w:val="22"/>
          <w:szCs w:val="22"/>
          <w:lang w:val="es-ES"/>
        </w:rPr>
        <w:t>:</w:t>
      </w:r>
      <w:r w:rsidRPr="006A537F">
        <w:rPr>
          <w:rFonts w:ascii="Arial" w:hAnsi="Arial" w:cs="Arial"/>
          <w:sz w:val="22"/>
          <w:szCs w:val="22"/>
          <w:lang w:val="es-MX"/>
        </w:rPr>
        <w:t> </w:t>
      </w:r>
    </w:p>
    <w:p w14:paraId="7FF00DE3" w14:textId="77777777" w:rsid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38C1F6BF" w14:textId="12326749" w:rsidR="006277BA" w:rsidRPr="006A537F" w:rsidRDefault="006277BA" w:rsidP="006277BA">
      <w:pPr>
        <w:jc w:val="center"/>
        <w:rPr>
          <w:rFonts w:ascii="Arial" w:hAnsi="Arial" w:cs="Arial"/>
          <w:sz w:val="22"/>
          <w:szCs w:val="22"/>
          <w:lang w:val="es-MX"/>
        </w:rPr>
      </w:pPr>
      <w:r>
        <w:rPr>
          <w:rFonts w:ascii="Arial" w:hAnsi="Arial" w:cs="Arial"/>
          <w:sz w:val="22"/>
          <w:szCs w:val="22"/>
          <w:lang w:val="es-MX"/>
        </w:rPr>
        <w:t>Tabla 5 – Reserva Presupuestal</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468"/>
        <w:gridCol w:w="1697"/>
        <w:gridCol w:w="1731"/>
        <w:gridCol w:w="1926"/>
      </w:tblGrid>
      <w:tr w:rsidR="006A537F" w:rsidRPr="006A537F" w14:paraId="64FD4FCE" w14:textId="77777777">
        <w:trPr>
          <w:trHeight w:val="255"/>
        </w:trPr>
        <w:tc>
          <w:tcPr>
            <w:tcW w:w="372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3751AB3C" w14:textId="1676EEA3"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ACTIVIDADES</w:t>
            </w:r>
          </w:p>
        </w:tc>
        <w:tc>
          <w:tcPr>
            <w:tcW w:w="1770" w:type="dxa"/>
            <w:tcBorders>
              <w:top w:val="single" w:sz="6" w:space="0" w:color="auto"/>
              <w:left w:val="nil"/>
              <w:bottom w:val="single" w:sz="6" w:space="0" w:color="auto"/>
              <w:right w:val="single" w:sz="6" w:space="0" w:color="auto"/>
            </w:tcBorders>
            <w:shd w:val="clear" w:color="auto" w:fill="FFFFFF"/>
            <w:vAlign w:val="center"/>
            <w:hideMark/>
          </w:tcPr>
          <w:p w14:paraId="5322FAAE" w14:textId="6BAD8E85"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RESERVA</w:t>
            </w:r>
          </w:p>
        </w:tc>
        <w:tc>
          <w:tcPr>
            <w:tcW w:w="1785" w:type="dxa"/>
            <w:tcBorders>
              <w:top w:val="single" w:sz="6" w:space="0" w:color="auto"/>
              <w:left w:val="nil"/>
              <w:bottom w:val="single" w:sz="6" w:space="0" w:color="auto"/>
              <w:right w:val="single" w:sz="6" w:space="0" w:color="auto"/>
            </w:tcBorders>
            <w:shd w:val="clear" w:color="auto" w:fill="FFFFFF"/>
            <w:vAlign w:val="center"/>
            <w:hideMark/>
          </w:tcPr>
          <w:p w14:paraId="7FF7D5E6" w14:textId="7C418411"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OBLIGACIONES</w:t>
            </w:r>
          </w:p>
        </w:tc>
        <w:tc>
          <w:tcPr>
            <w:tcW w:w="2025" w:type="dxa"/>
            <w:tcBorders>
              <w:top w:val="single" w:sz="6" w:space="0" w:color="auto"/>
              <w:left w:val="nil"/>
              <w:bottom w:val="single" w:sz="6" w:space="0" w:color="auto"/>
              <w:right w:val="single" w:sz="6" w:space="0" w:color="auto"/>
            </w:tcBorders>
            <w:shd w:val="clear" w:color="auto" w:fill="FFFFFF"/>
            <w:vAlign w:val="center"/>
            <w:hideMark/>
          </w:tcPr>
          <w:p w14:paraId="61D5DFF3" w14:textId="787474D6"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PAGO</w:t>
            </w:r>
          </w:p>
        </w:tc>
      </w:tr>
      <w:tr w:rsidR="006A537F" w:rsidRPr="006A537F" w14:paraId="1ECB24ED" w14:textId="77777777">
        <w:trPr>
          <w:trHeight w:val="615"/>
        </w:trPr>
        <w:tc>
          <w:tcPr>
            <w:tcW w:w="3720" w:type="dxa"/>
            <w:tcBorders>
              <w:top w:val="nil"/>
              <w:left w:val="single" w:sz="6" w:space="0" w:color="auto"/>
              <w:bottom w:val="single" w:sz="6" w:space="0" w:color="auto"/>
              <w:right w:val="single" w:sz="6" w:space="0" w:color="auto"/>
            </w:tcBorders>
            <w:vAlign w:val="bottom"/>
            <w:hideMark/>
          </w:tcPr>
          <w:p w14:paraId="64EB8C91" w14:textId="26B32EE7"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1.1.1 Realizar seguimiento a la ejecución del subsidio de VISR</w:t>
            </w:r>
          </w:p>
        </w:tc>
        <w:tc>
          <w:tcPr>
            <w:tcW w:w="1770" w:type="dxa"/>
            <w:tcBorders>
              <w:top w:val="nil"/>
              <w:left w:val="nil"/>
              <w:bottom w:val="single" w:sz="6" w:space="0" w:color="auto"/>
              <w:right w:val="single" w:sz="6" w:space="0" w:color="auto"/>
            </w:tcBorders>
            <w:shd w:val="clear" w:color="auto" w:fill="FFFFFF"/>
            <w:vAlign w:val="center"/>
            <w:hideMark/>
          </w:tcPr>
          <w:p w14:paraId="3B7C84BF" w14:textId="431B22D1"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$ 253.694.293</w:t>
            </w:r>
          </w:p>
        </w:tc>
        <w:tc>
          <w:tcPr>
            <w:tcW w:w="1785" w:type="dxa"/>
            <w:tcBorders>
              <w:top w:val="nil"/>
              <w:left w:val="nil"/>
              <w:bottom w:val="single" w:sz="6" w:space="0" w:color="auto"/>
              <w:right w:val="single" w:sz="6" w:space="0" w:color="auto"/>
            </w:tcBorders>
            <w:shd w:val="clear" w:color="auto" w:fill="FFFFFF"/>
            <w:vAlign w:val="center"/>
            <w:hideMark/>
          </w:tcPr>
          <w:p w14:paraId="32FD66B5" w14:textId="0313900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$ 253.694.293</w:t>
            </w:r>
          </w:p>
        </w:tc>
        <w:tc>
          <w:tcPr>
            <w:tcW w:w="2025" w:type="dxa"/>
            <w:tcBorders>
              <w:top w:val="nil"/>
              <w:left w:val="nil"/>
              <w:bottom w:val="single" w:sz="6" w:space="0" w:color="auto"/>
              <w:right w:val="single" w:sz="6" w:space="0" w:color="auto"/>
            </w:tcBorders>
            <w:shd w:val="clear" w:color="auto" w:fill="FFFFFF"/>
            <w:vAlign w:val="center"/>
            <w:hideMark/>
          </w:tcPr>
          <w:p w14:paraId="3E5A06FE" w14:textId="2089502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$ 253.694.293</w:t>
            </w:r>
          </w:p>
        </w:tc>
      </w:tr>
      <w:tr w:rsidR="006A537F" w:rsidRPr="006A537F" w14:paraId="221B44DB" w14:textId="77777777">
        <w:trPr>
          <w:trHeight w:val="615"/>
        </w:trPr>
        <w:tc>
          <w:tcPr>
            <w:tcW w:w="3720" w:type="dxa"/>
            <w:tcBorders>
              <w:top w:val="nil"/>
              <w:left w:val="single" w:sz="6" w:space="0" w:color="auto"/>
              <w:bottom w:val="single" w:sz="6" w:space="0" w:color="auto"/>
              <w:right w:val="single" w:sz="6" w:space="0" w:color="auto"/>
            </w:tcBorders>
            <w:vAlign w:val="bottom"/>
            <w:hideMark/>
          </w:tcPr>
          <w:p w14:paraId="72546C17" w14:textId="4ED4F2C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lastRenderedPageBreak/>
              <w:t>1.1.4 Realizar Auditoría externa o evaluación del Programa de Vivienda de interés social rural</w:t>
            </w:r>
          </w:p>
        </w:tc>
        <w:tc>
          <w:tcPr>
            <w:tcW w:w="1770" w:type="dxa"/>
            <w:tcBorders>
              <w:top w:val="nil"/>
              <w:left w:val="nil"/>
              <w:bottom w:val="single" w:sz="6" w:space="0" w:color="auto"/>
              <w:right w:val="single" w:sz="6" w:space="0" w:color="auto"/>
            </w:tcBorders>
            <w:shd w:val="clear" w:color="auto" w:fill="FFFFFF"/>
            <w:vAlign w:val="center"/>
            <w:hideMark/>
          </w:tcPr>
          <w:p w14:paraId="2BC39FF3" w14:textId="5A72FB35"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$ 3.600.000.000</w:t>
            </w:r>
          </w:p>
        </w:tc>
        <w:tc>
          <w:tcPr>
            <w:tcW w:w="1785" w:type="dxa"/>
            <w:tcBorders>
              <w:top w:val="nil"/>
              <w:left w:val="nil"/>
              <w:bottom w:val="single" w:sz="6" w:space="0" w:color="auto"/>
              <w:right w:val="single" w:sz="6" w:space="0" w:color="auto"/>
            </w:tcBorders>
            <w:shd w:val="clear" w:color="auto" w:fill="FFFFFF"/>
            <w:vAlign w:val="center"/>
            <w:hideMark/>
          </w:tcPr>
          <w:p w14:paraId="0ADBEED8" w14:textId="081C1991"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$ 3.600.000.000</w:t>
            </w:r>
          </w:p>
        </w:tc>
        <w:tc>
          <w:tcPr>
            <w:tcW w:w="2025" w:type="dxa"/>
            <w:tcBorders>
              <w:top w:val="nil"/>
              <w:left w:val="nil"/>
              <w:bottom w:val="single" w:sz="6" w:space="0" w:color="auto"/>
              <w:right w:val="single" w:sz="6" w:space="0" w:color="auto"/>
            </w:tcBorders>
            <w:shd w:val="clear" w:color="auto" w:fill="FFFFFF"/>
            <w:vAlign w:val="center"/>
            <w:hideMark/>
          </w:tcPr>
          <w:p w14:paraId="32668579" w14:textId="390D8613"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$ 3.600.000.000</w:t>
            </w:r>
          </w:p>
        </w:tc>
      </w:tr>
      <w:tr w:rsidR="006A537F" w:rsidRPr="006A537F" w14:paraId="015829C9" w14:textId="77777777">
        <w:trPr>
          <w:trHeight w:val="615"/>
        </w:trPr>
        <w:tc>
          <w:tcPr>
            <w:tcW w:w="3720" w:type="dxa"/>
            <w:tcBorders>
              <w:top w:val="nil"/>
              <w:left w:val="single" w:sz="6" w:space="0" w:color="auto"/>
              <w:bottom w:val="single" w:sz="6" w:space="0" w:color="auto"/>
              <w:right w:val="single" w:sz="6" w:space="0" w:color="auto"/>
            </w:tcBorders>
            <w:vAlign w:val="bottom"/>
            <w:hideMark/>
          </w:tcPr>
          <w:p w14:paraId="0B2D4D7E" w14:textId="56DD5BCC"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1.1.6 Implementar soluciones de vivienda mediante autogestión, construcción delegada y otras modalidades habilitadas normativamente, para el cierre</w:t>
            </w:r>
          </w:p>
        </w:tc>
        <w:tc>
          <w:tcPr>
            <w:tcW w:w="1770" w:type="dxa"/>
            <w:tcBorders>
              <w:top w:val="nil"/>
              <w:left w:val="nil"/>
              <w:bottom w:val="single" w:sz="6" w:space="0" w:color="auto"/>
              <w:right w:val="single" w:sz="6" w:space="0" w:color="auto"/>
            </w:tcBorders>
            <w:shd w:val="clear" w:color="auto" w:fill="FFFFFF"/>
            <w:vAlign w:val="center"/>
            <w:hideMark/>
          </w:tcPr>
          <w:p w14:paraId="64029CA2" w14:textId="0517733C"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$ 2.300.449.244</w:t>
            </w:r>
          </w:p>
        </w:tc>
        <w:tc>
          <w:tcPr>
            <w:tcW w:w="1785" w:type="dxa"/>
            <w:tcBorders>
              <w:top w:val="nil"/>
              <w:left w:val="nil"/>
              <w:bottom w:val="single" w:sz="6" w:space="0" w:color="auto"/>
              <w:right w:val="single" w:sz="6" w:space="0" w:color="auto"/>
            </w:tcBorders>
            <w:shd w:val="clear" w:color="auto" w:fill="FFFFFF"/>
            <w:vAlign w:val="center"/>
            <w:hideMark/>
          </w:tcPr>
          <w:p w14:paraId="533FE617" w14:textId="6FAC7B44"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$ 2.300.449.244</w:t>
            </w:r>
          </w:p>
        </w:tc>
        <w:tc>
          <w:tcPr>
            <w:tcW w:w="2025" w:type="dxa"/>
            <w:tcBorders>
              <w:top w:val="nil"/>
              <w:left w:val="nil"/>
              <w:bottom w:val="single" w:sz="6" w:space="0" w:color="auto"/>
              <w:right w:val="single" w:sz="6" w:space="0" w:color="auto"/>
            </w:tcBorders>
            <w:shd w:val="clear" w:color="auto" w:fill="FFFFFF"/>
            <w:vAlign w:val="center"/>
            <w:hideMark/>
          </w:tcPr>
          <w:p w14:paraId="556AE821" w14:textId="4701E1EE"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$ 2.300.449.244</w:t>
            </w:r>
          </w:p>
        </w:tc>
      </w:tr>
      <w:tr w:rsidR="006A537F" w:rsidRPr="006A537F" w14:paraId="14D1120A" w14:textId="77777777">
        <w:trPr>
          <w:trHeight w:val="255"/>
        </w:trPr>
        <w:tc>
          <w:tcPr>
            <w:tcW w:w="3720" w:type="dxa"/>
            <w:tcBorders>
              <w:top w:val="nil"/>
              <w:left w:val="single" w:sz="6" w:space="0" w:color="auto"/>
              <w:bottom w:val="single" w:sz="6" w:space="0" w:color="auto"/>
              <w:right w:val="single" w:sz="6" w:space="0" w:color="auto"/>
            </w:tcBorders>
            <w:shd w:val="clear" w:color="auto" w:fill="FFFFFF"/>
            <w:vAlign w:val="center"/>
            <w:hideMark/>
          </w:tcPr>
          <w:p w14:paraId="2E47B7CC" w14:textId="2E45359D"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TOTAL</w:t>
            </w:r>
          </w:p>
        </w:tc>
        <w:tc>
          <w:tcPr>
            <w:tcW w:w="1770" w:type="dxa"/>
            <w:tcBorders>
              <w:top w:val="nil"/>
              <w:left w:val="nil"/>
              <w:bottom w:val="single" w:sz="6" w:space="0" w:color="auto"/>
              <w:right w:val="single" w:sz="6" w:space="0" w:color="auto"/>
            </w:tcBorders>
            <w:shd w:val="clear" w:color="auto" w:fill="FFFFFF"/>
            <w:vAlign w:val="center"/>
            <w:hideMark/>
          </w:tcPr>
          <w:p w14:paraId="1062D44C" w14:textId="30268CD2"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$ 6.154.143.537</w:t>
            </w:r>
          </w:p>
        </w:tc>
        <w:tc>
          <w:tcPr>
            <w:tcW w:w="1785" w:type="dxa"/>
            <w:tcBorders>
              <w:top w:val="nil"/>
              <w:left w:val="nil"/>
              <w:bottom w:val="single" w:sz="6" w:space="0" w:color="auto"/>
              <w:right w:val="single" w:sz="6" w:space="0" w:color="auto"/>
            </w:tcBorders>
            <w:shd w:val="clear" w:color="auto" w:fill="FFFFFF"/>
            <w:vAlign w:val="center"/>
            <w:hideMark/>
          </w:tcPr>
          <w:p w14:paraId="3A7715A7" w14:textId="51F52463"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$ 6.154.143.537</w:t>
            </w:r>
          </w:p>
        </w:tc>
        <w:tc>
          <w:tcPr>
            <w:tcW w:w="2025" w:type="dxa"/>
            <w:tcBorders>
              <w:top w:val="nil"/>
              <w:left w:val="nil"/>
              <w:bottom w:val="single" w:sz="6" w:space="0" w:color="auto"/>
              <w:right w:val="single" w:sz="6" w:space="0" w:color="auto"/>
            </w:tcBorders>
            <w:shd w:val="clear" w:color="auto" w:fill="FFFFFF"/>
            <w:vAlign w:val="center"/>
            <w:hideMark/>
          </w:tcPr>
          <w:p w14:paraId="0586860B" w14:textId="4481CA79"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$ 6.154.143.537</w:t>
            </w:r>
          </w:p>
        </w:tc>
      </w:tr>
    </w:tbl>
    <w:p w14:paraId="33ADCC65"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2D871276" w14:textId="704D3655"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ES"/>
        </w:rPr>
        <w:t>A corte 31 de diciembre se ejecutaron </w:t>
      </w:r>
      <w:r w:rsidR="006277BA">
        <w:rPr>
          <w:rFonts w:ascii="Arial" w:hAnsi="Arial" w:cs="Arial"/>
          <w:sz w:val="22"/>
          <w:szCs w:val="22"/>
          <w:lang w:val="es-ES"/>
        </w:rPr>
        <w:t>$</w:t>
      </w:r>
      <w:r w:rsidRPr="006A537F">
        <w:rPr>
          <w:rFonts w:ascii="Arial" w:hAnsi="Arial" w:cs="Arial"/>
          <w:sz w:val="22"/>
          <w:szCs w:val="22"/>
          <w:lang w:val="es-ES"/>
        </w:rPr>
        <w:t>32.229.745.946 de los $ 39.955.783.650 que es la apropiación vigente del año 2025, no obstante, en los meses de enero y febrero de 2026 se constituyeron reservas presupuestales, las cuales se obligaron y pagaron por un valor de $6.154.143.537, en este sentido la ejecución presupuestal de la vigencia 2025 fue de $ 38.383.889.483 lo que equivale a un 96% de ejecución.</w:t>
      </w:r>
      <w:r w:rsidRPr="006A537F">
        <w:rPr>
          <w:rFonts w:ascii="Arial" w:hAnsi="Arial" w:cs="Arial"/>
          <w:sz w:val="22"/>
          <w:szCs w:val="22"/>
          <w:lang w:val="es-MX"/>
        </w:rPr>
        <w:t> </w:t>
      </w:r>
    </w:p>
    <w:p w14:paraId="31DC158E"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6333B682"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05865F7E" w14:textId="304757A5" w:rsidR="006A537F" w:rsidRPr="006A537F" w:rsidRDefault="006A537F" w:rsidP="006277BA">
      <w:pPr>
        <w:jc w:val="center"/>
        <w:rPr>
          <w:rFonts w:ascii="Arial" w:hAnsi="Arial" w:cs="Arial"/>
          <w:sz w:val="22"/>
          <w:szCs w:val="22"/>
          <w:lang w:val="es-MX"/>
        </w:rPr>
      </w:pPr>
      <w:r w:rsidRPr="006A537F">
        <w:rPr>
          <w:rFonts w:ascii="Arial" w:hAnsi="Arial" w:cs="Arial"/>
          <w:sz w:val="22"/>
          <w:szCs w:val="22"/>
          <w:lang w:val="es-ES"/>
        </w:rPr>
        <w:t>Tabla</w:t>
      </w:r>
      <w:r w:rsidR="006277BA">
        <w:rPr>
          <w:rFonts w:ascii="Arial" w:hAnsi="Arial" w:cs="Arial"/>
          <w:sz w:val="22"/>
          <w:szCs w:val="22"/>
          <w:lang w:val="es-ES"/>
        </w:rPr>
        <w:t xml:space="preserve"> 6</w:t>
      </w:r>
      <w:r w:rsidRPr="006A537F">
        <w:rPr>
          <w:rFonts w:ascii="Arial" w:hAnsi="Arial" w:cs="Arial"/>
          <w:sz w:val="22"/>
          <w:szCs w:val="22"/>
          <w:lang w:val="es-ES"/>
        </w:rPr>
        <w:t xml:space="preserve"> de regionalización del proyecto</w:t>
      </w: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20"/>
        <w:gridCol w:w="1350"/>
        <w:gridCol w:w="1350"/>
        <w:gridCol w:w="1350"/>
        <w:gridCol w:w="1350"/>
        <w:gridCol w:w="1425"/>
      </w:tblGrid>
      <w:tr w:rsidR="006A537F" w:rsidRPr="006A537F" w14:paraId="313F4F92" w14:textId="77777777" w:rsidTr="007547E3">
        <w:trPr>
          <w:trHeight w:val="735"/>
          <w:jc w:val="center"/>
        </w:trPr>
        <w:tc>
          <w:tcPr>
            <w:tcW w:w="1920" w:type="dxa"/>
            <w:tcBorders>
              <w:top w:val="single" w:sz="6" w:space="0" w:color="auto"/>
              <w:left w:val="single" w:sz="6" w:space="0" w:color="auto"/>
              <w:bottom w:val="single" w:sz="6" w:space="0" w:color="auto"/>
              <w:right w:val="single" w:sz="6" w:space="0" w:color="auto"/>
            </w:tcBorders>
            <w:shd w:val="clear" w:color="auto" w:fill="FFFFFF"/>
            <w:vAlign w:val="center"/>
            <w:hideMark/>
          </w:tcPr>
          <w:p w14:paraId="0F0A2105" w14:textId="42415BFF"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Departamento</w:t>
            </w:r>
          </w:p>
        </w:tc>
        <w:tc>
          <w:tcPr>
            <w:tcW w:w="1350" w:type="dxa"/>
            <w:tcBorders>
              <w:top w:val="single" w:sz="6" w:space="0" w:color="auto"/>
              <w:left w:val="nil"/>
              <w:bottom w:val="single" w:sz="6" w:space="0" w:color="auto"/>
              <w:right w:val="single" w:sz="6" w:space="0" w:color="auto"/>
            </w:tcBorders>
            <w:shd w:val="clear" w:color="auto" w:fill="FFFFFF"/>
            <w:vAlign w:val="center"/>
            <w:hideMark/>
          </w:tcPr>
          <w:p w14:paraId="12A171CB" w14:textId="6A0B811D"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PPTO Vigente</w:t>
            </w:r>
          </w:p>
        </w:tc>
        <w:tc>
          <w:tcPr>
            <w:tcW w:w="1350" w:type="dxa"/>
            <w:tcBorders>
              <w:top w:val="single" w:sz="6" w:space="0" w:color="auto"/>
              <w:left w:val="nil"/>
              <w:bottom w:val="single" w:sz="6" w:space="0" w:color="auto"/>
              <w:right w:val="single" w:sz="6" w:space="0" w:color="auto"/>
            </w:tcBorders>
            <w:shd w:val="clear" w:color="auto" w:fill="FFFFFF"/>
            <w:vAlign w:val="center"/>
            <w:hideMark/>
          </w:tcPr>
          <w:p w14:paraId="56973C55" w14:textId="6778825F"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Compromiso</w:t>
            </w:r>
          </w:p>
        </w:tc>
        <w:tc>
          <w:tcPr>
            <w:tcW w:w="1350" w:type="dxa"/>
            <w:tcBorders>
              <w:top w:val="single" w:sz="6" w:space="0" w:color="auto"/>
              <w:left w:val="nil"/>
              <w:bottom w:val="single" w:sz="6" w:space="0" w:color="auto"/>
              <w:right w:val="single" w:sz="6" w:space="0" w:color="auto"/>
            </w:tcBorders>
            <w:shd w:val="clear" w:color="auto" w:fill="FFFFFF"/>
            <w:vAlign w:val="center"/>
            <w:hideMark/>
          </w:tcPr>
          <w:p w14:paraId="02F25C94" w14:textId="34ECE505"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Obligación</w:t>
            </w:r>
          </w:p>
        </w:tc>
        <w:tc>
          <w:tcPr>
            <w:tcW w:w="1350" w:type="dxa"/>
            <w:tcBorders>
              <w:top w:val="single" w:sz="6" w:space="0" w:color="auto"/>
              <w:left w:val="nil"/>
              <w:bottom w:val="single" w:sz="6" w:space="0" w:color="auto"/>
              <w:right w:val="single" w:sz="6" w:space="0" w:color="auto"/>
            </w:tcBorders>
            <w:shd w:val="clear" w:color="auto" w:fill="FFFFFF"/>
            <w:vAlign w:val="center"/>
            <w:hideMark/>
          </w:tcPr>
          <w:p w14:paraId="26D6491F" w14:textId="0665C371"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Pago</w:t>
            </w:r>
          </w:p>
        </w:tc>
        <w:tc>
          <w:tcPr>
            <w:tcW w:w="1425" w:type="dxa"/>
            <w:tcBorders>
              <w:top w:val="single" w:sz="6" w:space="0" w:color="auto"/>
              <w:left w:val="nil"/>
              <w:bottom w:val="single" w:sz="6" w:space="0" w:color="auto"/>
              <w:right w:val="single" w:sz="6" w:space="0" w:color="auto"/>
            </w:tcBorders>
            <w:shd w:val="clear" w:color="auto" w:fill="FFFFFF"/>
            <w:vAlign w:val="center"/>
            <w:hideMark/>
          </w:tcPr>
          <w:p w14:paraId="05BFFC50" w14:textId="50C8216D"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Avance meta en el periodo</w:t>
            </w:r>
          </w:p>
        </w:tc>
      </w:tr>
      <w:tr w:rsidR="006A537F" w:rsidRPr="006A537F" w14:paraId="46F4ED9A"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64DC6AF4" w14:textId="60732FE2"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Antioquia</w:t>
            </w:r>
          </w:p>
        </w:tc>
        <w:tc>
          <w:tcPr>
            <w:tcW w:w="1350" w:type="dxa"/>
            <w:tcBorders>
              <w:top w:val="nil"/>
              <w:left w:val="nil"/>
              <w:bottom w:val="single" w:sz="6" w:space="0" w:color="auto"/>
              <w:right w:val="single" w:sz="6" w:space="0" w:color="auto"/>
            </w:tcBorders>
            <w:vAlign w:val="bottom"/>
            <w:hideMark/>
          </w:tcPr>
          <w:p w14:paraId="77000773" w14:textId="566522C8"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2.424.456.324,13</w:t>
            </w:r>
          </w:p>
        </w:tc>
        <w:tc>
          <w:tcPr>
            <w:tcW w:w="1350" w:type="dxa"/>
            <w:tcBorders>
              <w:top w:val="nil"/>
              <w:left w:val="nil"/>
              <w:bottom w:val="single" w:sz="6" w:space="0" w:color="auto"/>
              <w:right w:val="single" w:sz="6" w:space="0" w:color="auto"/>
            </w:tcBorders>
            <w:vAlign w:val="bottom"/>
            <w:hideMark/>
          </w:tcPr>
          <w:p w14:paraId="572ACDCC" w14:textId="152E725F"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2.424.456.324,13</w:t>
            </w:r>
          </w:p>
        </w:tc>
        <w:tc>
          <w:tcPr>
            <w:tcW w:w="1350" w:type="dxa"/>
            <w:tcBorders>
              <w:top w:val="nil"/>
              <w:left w:val="nil"/>
              <w:bottom w:val="single" w:sz="6" w:space="0" w:color="auto"/>
              <w:right w:val="single" w:sz="6" w:space="0" w:color="auto"/>
            </w:tcBorders>
            <w:vAlign w:val="bottom"/>
            <w:hideMark/>
          </w:tcPr>
          <w:p w14:paraId="2025F13D" w14:textId="7F1AC063"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2.424.456.324,13</w:t>
            </w:r>
          </w:p>
        </w:tc>
        <w:tc>
          <w:tcPr>
            <w:tcW w:w="1350" w:type="dxa"/>
            <w:tcBorders>
              <w:top w:val="nil"/>
              <w:left w:val="nil"/>
              <w:bottom w:val="single" w:sz="6" w:space="0" w:color="auto"/>
              <w:right w:val="single" w:sz="6" w:space="0" w:color="auto"/>
            </w:tcBorders>
            <w:vAlign w:val="bottom"/>
            <w:hideMark/>
          </w:tcPr>
          <w:p w14:paraId="6AA47ABD" w14:textId="09077363"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2.424.456.324,13</w:t>
            </w:r>
          </w:p>
        </w:tc>
        <w:tc>
          <w:tcPr>
            <w:tcW w:w="1425" w:type="dxa"/>
            <w:tcBorders>
              <w:top w:val="nil"/>
              <w:left w:val="nil"/>
              <w:bottom w:val="single" w:sz="6" w:space="0" w:color="auto"/>
              <w:right w:val="single" w:sz="6" w:space="0" w:color="auto"/>
            </w:tcBorders>
            <w:vAlign w:val="bottom"/>
            <w:hideMark/>
          </w:tcPr>
          <w:p w14:paraId="43058CBC" w14:textId="28B72DCA"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89</w:t>
            </w:r>
          </w:p>
        </w:tc>
      </w:tr>
      <w:tr w:rsidR="006A537F" w:rsidRPr="006A537F" w14:paraId="46ADE083"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3D4BF69A" w14:textId="3E00E0AC"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Magdalena</w:t>
            </w:r>
          </w:p>
        </w:tc>
        <w:tc>
          <w:tcPr>
            <w:tcW w:w="1350" w:type="dxa"/>
            <w:tcBorders>
              <w:top w:val="nil"/>
              <w:left w:val="nil"/>
              <w:bottom w:val="single" w:sz="6" w:space="0" w:color="auto"/>
              <w:right w:val="single" w:sz="6" w:space="0" w:color="auto"/>
            </w:tcBorders>
            <w:vAlign w:val="bottom"/>
            <w:hideMark/>
          </w:tcPr>
          <w:p w14:paraId="26403AA1" w14:textId="00F4260E"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1.262.927.315,96</w:t>
            </w:r>
          </w:p>
        </w:tc>
        <w:tc>
          <w:tcPr>
            <w:tcW w:w="1350" w:type="dxa"/>
            <w:tcBorders>
              <w:top w:val="nil"/>
              <w:left w:val="nil"/>
              <w:bottom w:val="single" w:sz="6" w:space="0" w:color="auto"/>
              <w:right w:val="single" w:sz="6" w:space="0" w:color="auto"/>
            </w:tcBorders>
            <w:vAlign w:val="bottom"/>
            <w:hideMark/>
          </w:tcPr>
          <w:p w14:paraId="0915ED50" w14:textId="31E663A8"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1.262.927.315,96</w:t>
            </w:r>
          </w:p>
        </w:tc>
        <w:tc>
          <w:tcPr>
            <w:tcW w:w="1350" w:type="dxa"/>
            <w:tcBorders>
              <w:top w:val="nil"/>
              <w:left w:val="nil"/>
              <w:bottom w:val="single" w:sz="6" w:space="0" w:color="auto"/>
              <w:right w:val="single" w:sz="6" w:space="0" w:color="auto"/>
            </w:tcBorders>
            <w:vAlign w:val="bottom"/>
            <w:hideMark/>
          </w:tcPr>
          <w:p w14:paraId="293DB9BB" w14:textId="4053926C"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1.262.927.315,96</w:t>
            </w:r>
          </w:p>
        </w:tc>
        <w:tc>
          <w:tcPr>
            <w:tcW w:w="1350" w:type="dxa"/>
            <w:tcBorders>
              <w:top w:val="nil"/>
              <w:left w:val="nil"/>
              <w:bottom w:val="single" w:sz="6" w:space="0" w:color="auto"/>
              <w:right w:val="single" w:sz="6" w:space="0" w:color="auto"/>
            </w:tcBorders>
            <w:vAlign w:val="bottom"/>
            <w:hideMark/>
          </w:tcPr>
          <w:p w14:paraId="400B0018" w14:textId="7DE24C51"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1.262.927.315,96</w:t>
            </w:r>
          </w:p>
        </w:tc>
        <w:tc>
          <w:tcPr>
            <w:tcW w:w="1425" w:type="dxa"/>
            <w:tcBorders>
              <w:top w:val="nil"/>
              <w:left w:val="nil"/>
              <w:bottom w:val="single" w:sz="6" w:space="0" w:color="auto"/>
              <w:right w:val="single" w:sz="6" w:space="0" w:color="auto"/>
            </w:tcBorders>
            <w:vAlign w:val="bottom"/>
            <w:hideMark/>
          </w:tcPr>
          <w:p w14:paraId="010F654D" w14:textId="1664540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48</w:t>
            </w:r>
          </w:p>
        </w:tc>
      </w:tr>
      <w:tr w:rsidR="006A537F" w:rsidRPr="006A537F" w14:paraId="330492D4"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178ADB82" w14:textId="42B7EBB8"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Nariño</w:t>
            </w:r>
          </w:p>
        </w:tc>
        <w:tc>
          <w:tcPr>
            <w:tcW w:w="1350" w:type="dxa"/>
            <w:tcBorders>
              <w:top w:val="nil"/>
              <w:left w:val="nil"/>
              <w:bottom w:val="single" w:sz="6" w:space="0" w:color="auto"/>
              <w:right w:val="single" w:sz="6" w:space="0" w:color="auto"/>
            </w:tcBorders>
            <w:vAlign w:val="bottom"/>
            <w:hideMark/>
          </w:tcPr>
          <w:p w14:paraId="4513C7F8" w14:textId="3164A0EF"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525.605.971,11</w:t>
            </w:r>
          </w:p>
        </w:tc>
        <w:tc>
          <w:tcPr>
            <w:tcW w:w="1350" w:type="dxa"/>
            <w:tcBorders>
              <w:top w:val="nil"/>
              <w:left w:val="nil"/>
              <w:bottom w:val="single" w:sz="6" w:space="0" w:color="auto"/>
              <w:right w:val="single" w:sz="6" w:space="0" w:color="auto"/>
            </w:tcBorders>
            <w:vAlign w:val="bottom"/>
            <w:hideMark/>
          </w:tcPr>
          <w:p w14:paraId="22EB4259" w14:textId="6E89DFE5"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525.605.971,11</w:t>
            </w:r>
          </w:p>
        </w:tc>
        <w:tc>
          <w:tcPr>
            <w:tcW w:w="1350" w:type="dxa"/>
            <w:tcBorders>
              <w:top w:val="nil"/>
              <w:left w:val="nil"/>
              <w:bottom w:val="single" w:sz="6" w:space="0" w:color="auto"/>
              <w:right w:val="single" w:sz="6" w:space="0" w:color="auto"/>
            </w:tcBorders>
            <w:vAlign w:val="bottom"/>
            <w:hideMark/>
          </w:tcPr>
          <w:p w14:paraId="365D0E39" w14:textId="612507D5"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525.605.971,11</w:t>
            </w:r>
          </w:p>
        </w:tc>
        <w:tc>
          <w:tcPr>
            <w:tcW w:w="1350" w:type="dxa"/>
            <w:tcBorders>
              <w:top w:val="nil"/>
              <w:left w:val="nil"/>
              <w:bottom w:val="single" w:sz="6" w:space="0" w:color="auto"/>
              <w:right w:val="single" w:sz="6" w:space="0" w:color="auto"/>
            </w:tcBorders>
            <w:vAlign w:val="bottom"/>
            <w:hideMark/>
          </w:tcPr>
          <w:p w14:paraId="2AF77BE5" w14:textId="6D96B7D5"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525.605.971,11</w:t>
            </w:r>
          </w:p>
        </w:tc>
        <w:tc>
          <w:tcPr>
            <w:tcW w:w="1425" w:type="dxa"/>
            <w:tcBorders>
              <w:top w:val="nil"/>
              <w:left w:val="nil"/>
              <w:bottom w:val="single" w:sz="6" w:space="0" w:color="auto"/>
              <w:right w:val="single" w:sz="6" w:space="0" w:color="auto"/>
            </w:tcBorders>
            <w:vAlign w:val="bottom"/>
            <w:hideMark/>
          </w:tcPr>
          <w:p w14:paraId="7358DC33" w14:textId="21F892D8"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42</w:t>
            </w:r>
          </w:p>
        </w:tc>
      </w:tr>
      <w:tr w:rsidR="006A537F" w:rsidRPr="006A537F" w14:paraId="7691BBF2"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5181A40F" w14:textId="24DAC564"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Huila</w:t>
            </w:r>
          </w:p>
        </w:tc>
        <w:tc>
          <w:tcPr>
            <w:tcW w:w="1350" w:type="dxa"/>
            <w:tcBorders>
              <w:top w:val="nil"/>
              <w:left w:val="nil"/>
              <w:bottom w:val="single" w:sz="6" w:space="0" w:color="auto"/>
              <w:right w:val="single" w:sz="6" w:space="0" w:color="auto"/>
            </w:tcBorders>
            <w:vAlign w:val="bottom"/>
            <w:hideMark/>
          </w:tcPr>
          <w:p w14:paraId="757FB381" w14:textId="7C7EACFD"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279.008.615,82</w:t>
            </w:r>
          </w:p>
        </w:tc>
        <w:tc>
          <w:tcPr>
            <w:tcW w:w="1350" w:type="dxa"/>
            <w:tcBorders>
              <w:top w:val="nil"/>
              <w:left w:val="nil"/>
              <w:bottom w:val="single" w:sz="6" w:space="0" w:color="auto"/>
              <w:right w:val="single" w:sz="6" w:space="0" w:color="auto"/>
            </w:tcBorders>
            <w:vAlign w:val="bottom"/>
            <w:hideMark/>
          </w:tcPr>
          <w:p w14:paraId="3F1656D2" w14:textId="3A5F596A"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279.008.615,82</w:t>
            </w:r>
          </w:p>
        </w:tc>
        <w:tc>
          <w:tcPr>
            <w:tcW w:w="1350" w:type="dxa"/>
            <w:tcBorders>
              <w:top w:val="nil"/>
              <w:left w:val="nil"/>
              <w:bottom w:val="single" w:sz="6" w:space="0" w:color="auto"/>
              <w:right w:val="single" w:sz="6" w:space="0" w:color="auto"/>
            </w:tcBorders>
            <w:vAlign w:val="bottom"/>
            <w:hideMark/>
          </w:tcPr>
          <w:p w14:paraId="570D92F9" w14:textId="64AA64F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279.008.615,82</w:t>
            </w:r>
          </w:p>
        </w:tc>
        <w:tc>
          <w:tcPr>
            <w:tcW w:w="1350" w:type="dxa"/>
            <w:tcBorders>
              <w:top w:val="nil"/>
              <w:left w:val="nil"/>
              <w:bottom w:val="single" w:sz="6" w:space="0" w:color="auto"/>
              <w:right w:val="single" w:sz="6" w:space="0" w:color="auto"/>
            </w:tcBorders>
            <w:vAlign w:val="bottom"/>
            <w:hideMark/>
          </w:tcPr>
          <w:p w14:paraId="3ECC4EBF" w14:textId="4A1762AF"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279.008.615,82</w:t>
            </w:r>
          </w:p>
        </w:tc>
        <w:tc>
          <w:tcPr>
            <w:tcW w:w="1425" w:type="dxa"/>
            <w:tcBorders>
              <w:top w:val="nil"/>
              <w:left w:val="nil"/>
              <w:bottom w:val="single" w:sz="6" w:space="0" w:color="auto"/>
              <w:right w:val="single" w:sz="6" w:space="0" w:color="auto"/>
            </w:tcBorders>
            <w:vAlign w:val="bottom"/>
            <w:hideMark/>
          </w:tcPr>
          <w:p w14:paraId="3EF5CBA1" w14:textId="58263D70"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17</w:t>
            </w:r>
          </w:p>
        </w:tc>
      </w:tr>
      <w:tr w:rsidR="006A537F" w:rsidRPr="006A537F" w14:paraId="54D8B2C4"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4FE438A9" w14:textId="77D3551B"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Tolima</w:t>
            </w:r>
          </w:p>
        </w:tc>
        <w:tc>
          <w:tcPr>
            <w:tcW w:w="1350" w:type="dxa"/>
            <w:tcBorders>
              <w:top w:val="nil"/>
              <w:left w:val="nil"/>
              <w:bottom w:val="single" w:sz="6" w:space="0" w:color="auto"/>
              <w:right w:val="single" w:sz="6" w:space="0" w:color="auto"/>
            </w:tcBorders>
            <w:vAlign w:val="bottom"/>
            <w:hideMark/>
          </w:tcPr>
          <w:p w14:paraId="015E8E14" w14:textId="22BF6C25"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2.219.743.521,11</w:t>
            </w:r>
          </w:p>
        </w:tc>
        <w:tc>
          <w:tcPr>
            <w:tcW w:w="1350" w:type="dxa"/>
            <w:tcBorders>
              <w:top w:val="nil"/>
              <w:left w:val="nil"/>
              <w:bottom w:val="single" w:sz="6" w:space="0" w:color="auto"/>
              <w:right w:val="single" w:sz="6" w:space="0" w:color="auto"/>
            </w:tcBorders>
            <w:vAlign w:val="bottom"/>
            <w:hideMark/>
          </w:tcPr>
          <w:p w14:paraId="237D5136" w14:textId="76F60FD8"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2.219.743.521,11</w:t>
            </w:r>
          </w:p>
        </w:tc>
        <w:tc>
          <w:tcPr>
            <w:tcW w:w="1350" w:type="dxa"/>
            <w:tcBorders>
              <w:top w:val="nil"/>
              <w:left w:val="nil"/>
              <w:bottom w:val="single" w:sz="6" w:space="0" w:color="auto"/>
              <w:right w:val="single" w:sz="6" w:space="0" w:color="auto"/>
            </w:tcBorders>
            <w:vAlign w:val="bottom"/>
            <w:hideMark/>
          </w:tcPr>
          <w:p w14:paraId="19A14416" w14:textId="77F08230"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2.219.743.521,11</w:t>
            </w:r>
          </w:p>
        </w:tc>
        <w:tc>
          <w:tcPr>
            <w:tcW w:w="1350" w:type="dxa"/>
            <w:tcBorders>
              <w:top w:val="nil"/>
              <w:left w:val="nil"/>
              <w:bottom w:val="single" w:sz="6" w:space="0" w:color="auto"/>
              <w:right w:val="single" w:sz="6" w:space="0" w:color="auto"/>
            </w:tcBorders>
            <w:vAlign w:val="bottom"/>
            <w:hideMark/>
          </w:tcPr>
          <w:p w14:paraId="5ABDB933" w14:textId="7E31BA9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2.219.743.521,11</w:t>
            </w:r>
          </w:p>
        </w:tc>
        <w:tc>
          <w:tcPr>
            <w:tcW w:w="1425" w:type="dxa"/>
            <w:tcBorders>
              <w:top w:val="nil"/>
              <w:left w:val="nil"/>
              <w:bottom w:val="single" w:sz="6" w:space="0" w:color="auto"/>
              <w:right w:val="single" w:sz="6" w:space="0" w:color="auto"/>
            </w:tcBorders>
            <w:vAlign w:val="bottom"/>
            <w:hideMark/>
          </w:tcPr>
          <w:p w14:paraId="3B76BA5F" w14:textId="4E0FCAC7"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199</w:t>
            </w:r>
          </w:p>
        </w:tc>
      </w:tr>
      <w:tr w:rsidR="006A537F" w:rsidRPr="006A537F" w14:paraId="042CA71B"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184EE465" w14:textId="0174ED77"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Bolívar</w:t>
            </w:r>
          </w:p>
        </w:tc>
        <w:tc>
          <w:tcPr>
            <w:tcW w:w="1350" w:type="dxa"/>
            <w:tcBorders>
              <w:top w:val="nil"/>
              <w:left w:val="nil"/>
              <w:bottom w:val="single" w:sz="6" w:space="0" w:color="auto"/>
              <w:right w:val="single" w:sz="6" w:space="0" w:color="auto"/>
            </w:tcBorders>
            <w:vAlign w:val="bottom"/>
            <w:hideMark/>
          </w:tcPr>
          <w:p w14:paraId="259CAC58" w14:textId="24A49DD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404.234.824,20</w:t>
            </w:r>
          </w:p>
        </w:tc>
        <w:tc>
          <w:tcPr>
            <w:tcW w:w="1350" w:type="dxa"/>
            <w:tcBorders>
              <w:top w:val="nil"/>
              <w:left w:val="nil"/>
              <w:bottom w:val="single" w:sz="6" w:space="0" w:color="auto"/>
              <w:right w:val="single" w:sz="6" w:space="0" w:color="auto"/>
            </w:tcBorders>
            <w:vAlign w:val="bottom"/>
            <w:hideMark/>
          </w:tcPr>
          <w:p w14:paraId="068C618C" w14:textId="58CAD797"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404.234.824,20</w:t>
            </w:r>
          </w:p>
        </w:tc>
        <w:tc>
          <w:tcPr>
            <w:tcW w:w="1350" w:type="dxa"/>
            <w:tcBorders>
              <w:top w:val="nil"/>
              <w:left w:val="nil"/>
              <w:bottom w:val="single" w:sz="6" w:space="0" w:color="auto"/>
              <w:right w:val="single" w:sz="6" w:space="0" w:color="auto"/>
            </w:tcBorders>
            <w:vAlign w:val="bottom"/>
            <w:hideMark/>
          </w:tcPr>
          <w:p w14:paraId="5286E677" w14:textId="60BF748E"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404.234.824,20</w:t>
            </w:r>
          </w:p>
        </w:tc>
        <w:tc>
          <w:tcPr>
            <w:tcW w:w="1350" w:type="dxa"/>
            <w:tcBorders>
              <w:top w:val="nil"/>
              <w:left w:val="nil"/>
              <w:bottom w:val="single" w:sz="6" w:space="0" w:color="auto"/>
              <w:right w:val="single" w:sz="6" w:space="0" w:color="auto"/>
            </w:tcBorders>
            <w:vAlign w:val="bottom"/>
            <w:hideMark/>
          </w:tcPr>
          <w:p w14:paraId="1C443C53" w14:textId="54D0766B"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404.234.824,20</w:t>
            </w:r>
          </w:p>
        </w:tc>
        <w:tc>
          <w:tcPr>
            <w:tcW w:w="1425" w:type="dxa"/>
            <w:tcBorders>
              <w:top w:val="nil"/>
              <w:left w:val="nil"/>
              <w:bottom w:val="single" w:sz="6" w:space="0" w:color="auto"/>
              <w:right w:val="single" w:sz="6" w:space="0" w:color="auto"/>
            </w:tcBorders>
            <w:vAlign w:val="bottom"/>
            <w:hideMark/>
          </w:tcPr>
          <w:p w14:paraId="00CAEE82" w14:textId="4EE30D02"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19</w:t>
            </w:r>
          </w:p>
        </w:tc>
      </w:tr>
      <w:tr w:rsidR="006A537F" w:rsidRPr="006A537F" w14:paraId="0F3FD6F9"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40135AED" w14:textId="7DC69D0F"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Cesar</w:t>
            </w:r>
          </w:p>
        </w:tc>
        <w:tc>
          <w:tcPr>
            <w:tcW w:w="1350" w:type="dxa"/>
            <w:tcBorders>
              <w:top w:val="nil"/>
              <w:left w:val="nil"/>
              <w:bottom w:val="single" w:sz="6" w:space="0" w:color="auto"/>
              <w:right w:val="single" w:sz="6" w:space="0" w:color="auto"/>
            </w:tcBorders>
            <w:vAlign w:val="bottom"/>
            <w:hideMark/>
          </w:tcPr>
          <w:p w14:paraId="41940A33" w14:textId="5A47DEC7"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920.709.609,84</w:t>
            </w:r>
          </w:p>
        </w:tc>
        <w:tc>
          <w:tcPr>
            <w:tcW w:w="1350" w:type="dxa"/>
            <w:tcBorders>
              <w:top w:val="nil"/>
              <w:left w:val="nil"/>
              <w:bottom w:val="single" w:sz="6" w:space="0" w:color="auto"/>
              <w:right w:val="single" w:sz="6" w:space="0" w:color="auto"/>
            </w:tcBorders>
            <w:vAlign w:val="bottom"/>
            <w:hideMark/>
          </w:tcPr>
          <w:p w14:paraId="675827C8" w14:textId="78BD9B1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920.709.609,84</w:t>
            </w:r>
          </w:p>
        </w:tc>
        <w:tc>
          <w:tcPr>
            <w:tcW w:w="1350" w:type="dxa"/>
            <w:tcBorders>
              <w:top w:val="nil"/>
              <w:left w:val="nil"/>
              <w:bottom w:val="single" w:sz="6" w:space="0" w:color="auto"/>
              <w:right w:val="single" w:sz="6" w:space="0" w:color="auto"/>
            </w:tcBorders>
            <w:vAlign w:val="bottom"/>
            <w:hideMark/>
          </w:tcPr>
          <w:p w14:paraId="3BFB1B05" w14:textId="2BE75503"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920.709.609,84</w:t>
            </w:r>
          </w:p>
        </w:tc>
        <w:tc>
          <w:tcPr>
            <w:tcW w:w="1350" w:type="dxa"/>
            <w:tcBorders>
              <w:top w:val="nil"/>
              <w:left w:val="nil"/>
              <w:bottom w:val="single" w:sz="6" w:space="0" w:color="auto"/>
              <w:right w:val="single" w:sz="6" w:space="0" w:color="auto"/>
            </w:tcBorders>
            <w:vAlign w:val="bottom"/>
            <w:hideMark/>
          </w:tcPr>
          <w:p w14:paraId="2B484FDB" w14:textId="5C5BC401"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920.709.609,84</w:t>
            </w:r>
          </w:p>
        </w:tc>
        <w:tc>
          <w:tcPr>
            <w:tcW w:w="1425" w:type="dxa"/>
            <w:tcBorders>
              <w:top w:val="nil"/>
              <w:left w:val="nil"/>
              <w:bottom w:val="single" w:sz="6" w:space="0" w:color="auto"/>
              <w:right w:val="single" w:sz="6" w:space="0" w:color="auto"/>
            </w:tcBorders>
            <w:vAlign w:val="bottom"/>
            <w:hideMark/>
          </w:tcPr>
          <w:p w14:paraId="102C5183" w14:textId="7776E1F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52</w:t>
            </w:r>
          </w:p>
        </w:tc>
      </w:tr>
      <w:tr w:rsidR="006A537F" w:rsidRPr="006A537F" w14:paraId="56A3CD58"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1F26D3C5" w14:textId="47843672"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Córdoba</w:t>
            </w:r>
          </w:p>
        </w:tc>
        <w:tc>
          <w:tcPr>
            <w:tcW w:w="1350" w:type="dxa"/>
            <w:tcBorders>
              <w:top w:val="nil"/>
              <w:left w:val="nil"/>
              <w:bottom w:val="single" w:sz="6" w:space="0" w:color="auto"/>
              <w:right w:val="single" w:sz="6" w:space="0" w:color="auto"/>
            </w:tcBorders>
            <w:vAlign w:val="bottom"/>
            <w:hideMark/>
          </w:tcPr>
          <w:p w14:paraId="2F96E0B8" w14:textId="123A4F70"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1.107.789.364,77</w:t>
            </w:r>
          </w:p>
        </w:tc>
        <w:tc>
          <w:tcPr>
            <w:tcW w:w="1350" w:type="dxa"/>
            <w:tcBorders>
              <w:top w:val="nil"/>
              <w:left w:val="nil"/>
              <w:bottom w:val="single" w:sz="6" w:space="0" w:color="auto"/>
              <w:right w:val="single" w:sz="6" w:space="0" w:color="auto"/>
            </w:tcBorders>
            <w:vAlign w:val="bottom"/>
            <w:hideMark/>
          </w:tcPr>
          <w:p w14:paraId="4A37B681" w14:textId="1CF39607"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1.107.789.364,77</w:t>
            </w:r>
          </w:p>
        </w:tc>
        <w:tc>
          <w:tcPr>
            <w:tcW w:w="1350" w:type="dxa"/>
            <w:tcBorders>
              <w:top w:val="nil"/>
              <w:left w:val="nil"/>
              <w:bottom w:val="single" w:sz="6" w:space="0" w:color="auto"/>
              <w:right w:val="single" w:sz="6" w:space="0" w:color="auto"/>
            </w:tcBorders>
            <w:vAlign w:val="bottom"/>
            <w:hideMark/>
          </w:tcPr>
          <w:p w14:paraId="56614D87" w14:textId="64B51D5E"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1.107.789.364,77</w:t>
            </w:r>
          </w:p>
        </w:tc>
        <w:tc>
          <w:tcPr>
            <w:tcW w:w="1350" w:type="dxa"/>
            <w:tcBorders>
              <w:top w:val="nil"/>
              <w:left w:val="nil"/>
              <w:bottom w:val="single" w:sz="6" w:space="0" w:color="auto"/>
              <w:right w:val="single" w:sz="6" w:space="0" w:color="auto"/>
            </w:tcBorders>
            <w:vAlign w:val="bottom"/>
            <w:hideMark/>
          </w:tcPr>
          <w:p w14:paraId="6DE805A3" w14:textId="477B521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1.107.789.364,77</w:t>
            </w:r>
          </w:p>
        </w:tc>
        <w:tc>
          <w:tcPr>
            <w:tcW w:w="1425" w:type="dxa"/>
            <w:tcBorders>
              <w:top w:val="nil"/>
              <w:left w:val="nil"/>
              <w:bottom w:val="single" w:sz="6" w:space="0" w:color="auto"/>
              <w:right w:val="single" w:sz="6" w:space="0" w:color="auto"/>
            </w:tcBorders>
            <w:vAlign w:val="bottom"/>
            <w:hideMark/>
          </w:tcPr>
          <w:p w14:paraId="792D36FF" w14:textId="26C78B3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37</w:t>
            </w:r>
          </w:p>
        </w:tc>
      </w:tr>
      <w:tr w:rsidR="006A537F" w:rsidRPr="006A537F" w14:paraId="07842FE4"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65099AC8" w14:textId="36298B4E"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Meta</w:t>
            </w:r>
          </w:p>
        </w:tc>
        <w:tc>
          <w:tcPr>
            <w:tcW w:w="1350" w:type="dxa"/>
            <w:tcBorders>
              <w:top w:val="nil"/>
              <w:left w:val="nil"/>
              <w:bottom w:val="single" w:sz="6" w:space="0" w:color="auto"/>
              <w:right w:val="single" w:sz="6" w:space="0" w:color="auto"/>
            </w:tcBorders>
            <w:vAlign w:val="bottom"/>
            <w:hideMark/>
          </w:tcPr>
          <w:p w14:paraId="3C83E77D" w14:textId="620638AD"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98.908.795,53</w:t>
            </w:r>
          </w:p>
        </w:tc>
        <w:tc>
          <w:tcPr>
            <w:tcW w:w="1350" w:type="dxa"/>
            <w:tcBorders>
              <w:top w:val="nil"/>
              <w:left w:val="nil"/>
              <w:bottom w:val="single" w:sz="6" w:space="0" w:color="auto"/>
              <w:right w:val="single" w:sz="6" w:space="0" w:color="auto"/>
            </w:tcBorders>
            <w:vAlign w:val="bottom"/>
            <w:hideMark/>
          </w:tcPr>
          <w:p w14:paraId="2B54716A" w14:textId="47CF47E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98.908.795,53</w:t>
            </w:r>
          </w:p>
        </w:tc>
        <w:tc>
          <w:tcPr>
            <w:tcW w:w="1350" w:type="dxa"/>
            <w:tcBorders>
              <w:top w:val="nil"/>
              <w:left w:val="nil"/>
              <w:bottom w:val="single" w:sz="6" w:space="0" w:color="auto"/>
              <w:right w:val="single" w:sz="6" w:space="0" w:color="auto"/>
            </w:tcBorders>
            <w:vAlign w:val="bottom"/>
            <w:hideMark/>
          </w:tcPr>
          <w:p w14:paraId="618FC287" w14:textId="133491B8"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98.908.795,53</w:t>
            </w:r>
          </w:p>
        </w:tc>
        <w:tc>
          <w:tcPr>
            <w:tcW w:w="1350" w:type="dxa"/>
            <w:tcBorders>
              <w:top w:val="nil"/>
              <w:left w:val="nil"/>
              <w:bottom w:val="single" w:sz="6" w:space="0" w:color="auto"/>
              <w:right w:val="single" w:sz="6" w:space="0" w:color="auto"/>
            </w:tcBorders>
            <w:vAlign w:val="bottom"/>
            <w:hideMark/>
          </w:tcPr>
          <w:p w14:paraId="632698C5" w14:textId="61096CF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98.908.795,53</w:t>
            </w:r>
          </w:p>
        </w:tc>
        <w:tc>
          <w:tcPr>
            <w:tcW w:w="1425" w:type="dxa"/>
            <w:tcBorders>
              <w:top w:val="nil"/>
              <w:left w:val="nil"/>
              <w:bottom w:val="single" w:sz="6" w:space="0" w:color="auto"/>
              <w:right w:val="single" w:sz="6" w:space="0" w:color="auto"/>
            </w:tcBorders>
            <w:vAlign w:val="bottom"/>
            <w:hideMark/>
          </w:tcPr>
          <w:p w14:paraId="5ABFB4B3" w14:textId="50345F5F"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w:t>
            </w:r>
          </w:p>
        </w:tc>
      </w:tr>
      <w:tr w:rsidR="006A537F" w:rsidRPr="006A537F" w14:paraId="23469F19"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752DF0C7" w14:textId="72D20BA5"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Arauca</w:t>
            </w:r>
          </w:p>
        </w:tc>
        <w:tc>
          <w:tcPr>
            <w:tcW w:w="1350" w:type="dxa"/>
            <w:tcBorders>
              <w:top w:val="nil"/>
              <w:left w:val="nil"/>
              <w:bottom w:val="single" w:sz="6" w:space="0" w:color="auto"/>
              <w:right w:val="single" w:sz="6" w:space="0" w:color="auto"/>
            </w:tcBorders>
            <w:vAlign w:val="bottom"/>
            <w:hideMark/>
          </w:tcPr>
          <w:p w14:paraId="7E7AEFE9" w14:textId="23B93F82"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4.320.067.065,34</w:t>
            </w:r>
          </w:p>
        </w:tc>
        <w:tc>
          <w:tcPr>
            <w:tcW w:w="1350" w:type="dxa"/>
            <w:tcBorders>
              <w:top w:val="nil"/>
              <w:left w:val="nil"/>
              <w:bottom w:val="single" w:sz="6" w:space="0" w:color="auto"/>
              <w:right w:val="single" w:sz="6" w:space="0" w:color="auto"/>
            </w:tcBorders>
            <w:vAlign w:val="bottom"/>
            <w:hideMark/>
          </w:tcPr>
          <w:p w14:paraId="4D52B3F5" w14:textId="7606866A"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4.320.067.065,34</w:t>
            </w:r>
          </w:p>
        </w:tc>
        <w:tc>
          <w:tcPr>
            <w:tcW w:w="1350" w:type="dxa"/>
            <w:tcBorders>
              <w:top w:val="nil"/>
              <w:left w:val="nil"/>
              <w:bottom w:val="single" w:sz="6" w:space="0" w:color="auto"/>
              <w:right w:val="single" w:sz="6" w:space="0" w:color="auto"/>
            </w:tcBorders>
            <w:vAlign w:val="bottom"/>
            <w:hideMark/>
          </w:tcPr>
          <w:p w14:paraId="78CE90A6" w14:textId="62C6E8E7"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4.320.067.065,34</w:t>
            </w:r>
          </w:p>
        </w:tc>
        <w:tc>
          <w:tcPr>
            <w:tcW w:w="1350" w:type="dxa"/>
            <w:tcBorders>
              <w:top w:val="nil"/>
              <w:left w:val="nil"/>
              <w:bottom w:val="single" w:sz="6" w:space="0" w:color="auto"/>
              <w:right w:val="single" w:sz="6" w:space="0" w:color="auto"/>
            </w:tcBorders>
            <w:vAlign w:val="bottom"/>
            <w:hideMark/>
          </w:tcPr>
          <w:p w14:paraId="2790178F" w14:textId="41A5F814"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4.320.067.065,34</w:t>
            </w:r>
          </w:p>
        </w:tc>
        <w:tc>
          <w:tcPr>
            <w:tcW w:w="1425" w:type="dxa"/>
            <w:tcBorders>
              <w:top w:val="nil"/>
              <w:left w:val="nil"/>
              <w:bottom w:val="single" w:sz="6" w:space="0" w:color="auto"/>
              <w:right w:val="single" w:sz="6" w:space="0" w:color="auto"/>
            </w:tcBorders>
            <w:vAlign w:val="bottom"/>
            <w:hideMark/>
          </w:tcPr>
          <w:p w14:paraId="5DE4881D" w14:textId="043BA7AB"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333</w:t>
            </w:r>
          </w:p>
        </w:tc>
      </w:tr>
      <w:tr w:rsidR="006A537F" w:rsidRPr="006A537F" w14:paraId="113CE563"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67523E66" w14:textId="7F15B0C0"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Cauca</w:t>
            </w:r>
          </w:p>
        </w:tc>
        <w:tc>
          <w:tcPr>
            <w:tcW w:w="1350" w:type="dxa"/>
            <w:tcBorders>
              <w:top w:val="nil"/>
              <w:left w:val="nil"/>
              <w:bottom w:val="single" w:sz="6" w:space="0" w:color="auto"/>
              <w:right w:val="single" w:sz="6" w:space="0" w:color="auto"/>
            </w:tcBorders>
            <w:vAlign w:val="bottom"/>
            <w:hideMark/>
          </w:tcPr>
          <w:p w14:paraId="5930B15C" w14:textId="14C61EF8"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3.983.554.183,45</w:t>
            </w:r>
          </w:p>
        </w:tc>
        <w:tc>
          <w:tcPr>
            <w:tcW w:w="1350" w:type="dxa"/>
            <w:tcBorders>
              <w:top w:val="nil"/>
              <w:left w:val="nil"/>
              <w:bottom w:val="single" w:sz="6" w:space="0" w:color="auto"/>
              <w:right w:val="single" w:sz="6" w:space="0" w:color="auto"/>
            </w:tcBorders>
            <w:vAlign w:val="bottom"/>
            <w:hideMark/>
          </w:tcPr>
          <w:p w14:paraId="3C10FC40" w14:textId="735F895D"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3.983.554.183,45</w:t>
            </w:r>
          </w:p>
        </w:tc>
        <w:tc>
          <w:tcPr>
            <w:tcW w:w="1350" w:type="dxa"/>
            <w:tcBorders>
              <w:top w:val="nil"/>
              <w:left w:val="nil"/>
              <w:bottom w:val="single" w:sz="6" w:space="0" w:color="auto"/>
              <w:right w:val="single" w:sz="6" w:space="0" w:color="auto"/>
            </w:tcBorders>
            <w:vAlign w:val="bottom"/>
            <w:hideMark/>
          </w:tcPr>
          <w:p w14:paraId="72A9F751" w14:textId="03E1D471"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3.983.554.183,45</w:t>
            </w:r>
          </w:p>
        </w:tc>
        <w:tc>
          <w:tcPr>
            <w:tcW w:w="1350" w:type="dxa"/>
            <w:tcBorders>
              <w:top w:val="nil"/>
              <w:left w:val="nil"/>
              <w:bottom w:val="single" w:sz="6" w:space="0" w:color="auto"/>
              <w:right w:val="single" w:sz="6" w:space="0" w:color="auto"/>
            </w:tcBorders>
            <w:vAlign w:val="bottom"/>
            <w:hideMark/>
          </w:tcPr>
          <w:p w14:paraId="7D81D6FB" w14:textId="172AE18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3.983.554.183,45</w:t>
            </w:r>
          </w:p>
        </w:tc>
        <w:tc>
          <w:tcPr>
            <w:tcW w:w="1425" w:type="dxa"/>
            <w:tcBorders>
              <w:top w:val="nil"/>
              <w:left w:val="nil"/>
              <w:bottom w:val="single" w:sz="6" w:space="0" w:color="auto"/>
              <w:right w:val="single" w:sz="6" w:space="0" w:color="auto"/>
            </w:tcBorders>
            <w:vAlign w:val="bottom"/>
            <w:hideMark/>
          </w:tcPr>
          <w:p w14:paraId="7921656C" w14:textId="7F9BEAAA"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133</w:t>
            </w:r>
          </w:p>
        </w:tc>
      </w:tr>
      <w:tr w:rsidR="006A537F" w:rsidRPr="006A537F" w14:paraId="0A507BAD"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6838B1E6" w14:textId="7E2AA0AB"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Chocó</w:t>
            </w:r>
          </w:p>
        </w:tc>
        <w:tc>
          <w:tcPr>
            <w:tcW w:w="1350" w:type="dxa"/>
            <w:tcBorders>
              <w:top w:val="nil"/>
              <w:left w:val="nil"/>
              <w:bottom w:val="single" w:sz="6" w:space="0" w:color="auto"/>
              <w:right w:val="single" w:sz="6" w:space="0" w:color="auto"/>
            </w:tcBorders>
            <w:vAlign w:val="bottom"/>
            <w:hideMark/>
          </w:tcPr>
          <w:p w14:paraId="620DA177" w14:textId="0F9EC12D"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2.937.180.283,01</w:t>
            </w:r>
          </w:p>
        </w:tc>
        <w:tc>
          <w:tcPr>
            <w:tcW w:w="1350" w:type="dxa"/>
            <w:tcBorders>
              <w:top w:val="nil"/>
              <w:left w:val="nil"/>
              <w:bottom w:val="single" w:sz="6" w:space="0" w:color="auto"/>
              <w:right w:val="single" w:sz="6" w:space="0" w:color="auto"/>
            </w:tcBorders>
            <w:vAlign w:val="bottom"/>
            <w:hideMark/>
          </w:tcPr>
          <w:p w14:paraId="3FF83510" w14:textId="3325B48A"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2.937.180.283,01</w:t>
            </w:r>
          </w:p>
        </w:tc>
        <w:tc>
          <w:tcPr>
            <w:tcW w:w="1350" w:type="dxa"/>
            <w:tcBorders>
              <w:top w:val="nil"/>
              <w:left w:val="nil"/>
              <w:bottom w:val="single" w:sz="6" w:space="0" w:color="auto"/>
              <w:right w:val="single" w:sz="6" w:space="0" w:color="auto"/>
            </w:tcBorders>
            <w:vAlign w:val="bottom"/>
            <w:hideMark/>
          </w:tcPr>
          <w:p w14:paraId="301870B1" w14:textId="099FA375"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2.937.180.283,01</w:t>
            </w:r>
          </w:p>
        </w:tc>
        <w:tc>
          <w:tcPr>
            <w:tcW w:w="1350" w:type="dxa"/>
            <w:tcBorders>
              <w:top w:val="nil"/>
              <w:left w:val="nil"/>
              <w:bottom w:val="single" w:sz="6" w:space="0" w:color="auto"/>
              <w:right w:val="single" w:sz="6" w:space="0" w:color="auto"/>
            </w:tcBorders>
            <w:vAlign w:val="bottom"/>
            <w:hideMark/>
          </w:tcPr>
          <w:p w14:paraId="34A813E3" w14:textId="631A8561"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2.937.180.283,01</w:t>
            </w:r>
          </w:p>
        </w:tc>
        <w:tc>
          <w:tcPr>
            <w:tcW w:w="1425" w:type="dxa"/>
            <w:tcBorders>
              <w:top w:val="nil"/>
              <w:left w:val="nil"/>
              <w:bottom w:val="single" w:sz="6" w:space="0" w:color="auto"/>
              <w:right w:val="single" w:sz="6" w:space="0" w:color="auto"/>
            </w:tcBorders>
            <w:vAlign w:val="bottom"/>
            <w:hideMark/>
          </w:tcPr>
          <w:p w14:paraId="2F0FC049" w14:textId="1B8667A8"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106</w:t>
            </w:r>
          </w:p>
        </w:tc>
      </w:tr>
      <w:tr w:rsidR="006A537F" w:rsidRPr="006A537F" w14:paraId="7F4345C3"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4CA55671" w14:textId="4462C81E"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Caldas</w:t>
            </w:r>
          </w:p>
        </w:tc>
        <w:tc>
          <w:tcPr>
            <w:tcW w:w="1350" w:type="dxa"/>
            <w:tcBorders>
              <w:top w:val="nil"/>
              <w:left w:val="nil"/>
              <w:bottom w:val="single" w:sz="6" w:space="0" w:color="auto"/>
              <w:right w:val="single" w:sz="6" w:space="0" w:color="auto"/>
            </w:tcBorders>
            <w:vAlign w:val="bottom"/>
            <w:hideMark/>
          </w:tcPr>
          <w:p w14:paraId="7DF20889" w14:textId="58658DD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93.553.989,21</w:t>
            </w:r>
          </w:p>
        </w:tc>
        <w:tc>
          <w:tcPr>
            <w:tcW w:w="1350" w:type="dxa"/>
            <w:tcBorders>
              <w:top w:val="nil"/>
              <w:left w:val="nil"/>
              <w:bottom w:val="single" w:sz="6" w:space="0" w:color="auto"/>
              <w:right w:val="single" w:sz="6" w:space="0" w:color="auto"/>
            </w:tcBorders>
            <w:vAlign w:val="bottom"/>
            <w:hideMark/>
          </w:tcPr>
          <w:p w14:paraId="493E67A8" w14:textId="488BE06F"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93.553.989,21</w:t>
            </w:r>
          </w:p>
        </w:tc>
        <w:tc>
          <w:tcPr>
            <w:tcW w:w="1350" w:type="dxa"/>
            <w:tcBorders>
              <w:top w:val="nil"/>
              <w:left w:val="nil"/>
              <w:bottom w:val="single" w:sz="6" w:space="0" w:color="auto"/>
              <w:right w:val="single" w:sz="6" w:space="0" w:color="auto"/>
            </w:tcBorders>
            <w:vAlign w:val="bottom"/>
            <w:hideMark/>
          </w:tcPr>
          <w:p w14:paraId="7A1B637B" w14:textId="4C4E8004"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93.553.989,21</w:t>
            </w:r>
          </w:p>
        </w:tc>
        <w:tc>
          <w:tcPr>
            <w:tcW w:w="1350" w:type="dxa"/>
            <w:tcBorders>
              <w:top w:val="nil"/>
              <w:left w:val="nil"/>
              <w:bottom w:val="single" w:sz="6" w:space="0" w:color="auto"/>
              <w:right w:val="single" w:sz="6" w:space="0" w:color="auto"/>
            </w:tcBorders>
            <w:vAlign w:val="bottom"/>
            <w:hideMark/>
          </w:tcPr>
          <w:p w14:paraId="07C46285" w14:textId="0B7BC0D2"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93.553.989,21</w:t>
            </w:r>
          </w:p>
        </w:tc>
        <w:tc>
          <w:tcPr>
            <w:tcW w:w="1425" w:type="dxa"/>
            <w:tcBorders>
              <w:top w:val="nil"/>
              <w:left w:val="nil"/>
              <w:bottom w:val="single" w:sz="6" w:space="0" w:color="auto"/>
              <w:right w:val="single" w:sz="6" w:space="0" w:color="auto"/>
            </w:tcBorders>
            <w:vAlign w:val="bottom"/>
            <w:hideMark/>
          </w:tcPr>
          <w:p w14:paraId="14042D1C" w14:textId="0E436117"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w:t>
            </w:r>
          </w:p>
        </w:tc>
      </w:tr>
      <w:tr w:rsidR="006A537F" w:rsidRPr="006A537F" w14:paraId="05476385"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52D84BB1" w14:textId="1CA3F474"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Cundinamarca</w:t>
            </w:r>
          </w:p>
        </w:tc>
        <w:tc>
          <w:tcPr>
            <w:tcW w:w="1350" w:type="dxa"/>
            <w:tcBorders>
              <w:top w:val="nil"/>
              <w:left w:val="nil"/>
              <w:bottom w:val="single" w:sz="6" w:space="0" w:color="auto"/>
              <w:right w:val="single" w:sz="6" w:space="0" w:color="auto"/>
            </w:tcBorders>
            <w:vAlign w:val="bottom"/>
            <w:hideMark/>
          </w:tcPr>
          <w:p w14:paraId="4EDC96E6" w14:textId="4AFFA801"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74.258.040,70</w:t>
            </w:r>
          </w:p>
        </w:tc>
        <w:tc>
          <w:tcPr>
            <w:tcW w:w="1350" w:type="dxa"/>
            <w:tcBorders>
              <w:top w:val="nil"/>
              <w:left w:val="nil"/>
              <w:bottom w:val="single" w:sz="6" w:space="0" w:color="auto"/>
              <w:right w:val="single" w:sz="6" w:space="0" w:color="auto"/>
            </w:tcBorders>
            <w:vAlign w:val="bottom"/>
            <w:hideMark/>
          </w:tcPr>
          <w:p w14:paraId="7F95C7F9" w14:textId="392DD50C"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74.258.040,70</w:t>
            </w:r>
          </w:p>
        </w:tc>
        <w:tc>
          <w:tcPr>
            <w:tcW w:w="1350" w:type="dxa"/>
            <w:tcBorders>
              <w:top w:val="nil"/>
              <w:left w:val="nil"/>
              <w:bottom w:val="single" w:sz="6" w:space="0" w:color="auto"/>
              <w:right w:val="single" w:sz="6" w:space="0" w:color="auto"/>
            </w:tcBorders>
            <w:vAlign w:val="bottom"/>
            <w:hideMark/>
          </w:tcPr>
          <w:p w14:paraId="3025942B" w14:textId="7A92025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74.258.040,70</w:t>
            </w:r>
          </w:p>
        </w:tc>
        <w:tc>
          <w:tcPr>
            <w:tcW w:w="1350" w:type="dxa"/>
            <w:tcBorders>
              <w:top w:val="nil"/>
              <w:left w:val="nil"/>
              <w:bottom w:val="single" w:sz="6" w:space="0" w:color="auto"/>
              <w:right w:val="single" w:sz="6" w:space="0" w:color="auto"/>
            </w:tcBorders>
            <w:vAlign w:val="bottom"/>
            <w:hideMark/>
          </w:tcPr>
          <w:p w14:paraId="2CB20113" w14:textId="25A0DEF4"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74.258.040,70</w:t>
            </w:r>
          </w:p>
        </w:tc>
        <w:tc>
          <w:tcPr>
            <w:tcW w:w="1425" w:type="dxa"/>
            <w:tcBorders>
              <w:top w:val="nil"/>
              <w:left w:val="nil"/>
              <w:bottom w:val="single" w:sz="6" w:space="0" w:color="auto"/>
              <w:right w:val="single" w:sz="6" w:space="0" w:color="auto"/>
            </w:tcBorders>
            <w:vAlign w:val="bottom"/>
            <w:hideMark/>
          </w:tcPr>
          <w:p w14:paraId="43E00C5F" w14:textId="49F066A7"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4</w:t>
            </w:r>
          </w:p>
        </w:tc>
      </w:tr>
      <w:tr w:rsidR="006A537F" w:rsidRPr="006A537F" w14:paraId="1C6A7252"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1EC191FA" w14:textId="58E5B98A"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Putumayo</w:t>
            </w:r>
          </w:p>
        </w:tc>
        <w:tc>
          <w:tcPr>
            <w:tcW w:w="1350" w:type="dxa"/>
            <w:tcBorders>
              <w:top w:val="nil"/>
              <w:left w:val="nil"/>
              <w:bottom w:val="single" w:sz="6" w:space="0" w:color="auto"/>
              <w:right w:val="single" w:sz="6" w:space="0" w:color="auto"/>
            </w:tcBorders>
            <w:vAlign w:val="bottom"/>
            <w:hideMark/>
          </w:tcPr>
          <w:p w14:paraId="0309E131" w14:textId="4CDD16F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1.081.410.761,48</w:t>
            </w:r>
          </w:p>
        </w:tc>
        <w:tc>
          <w:tcPr>
            <w:tcW w:w="1350" w:type="dxa"/>
            <w:tcBorders>
              <w:top w:val="nil"/>
              <w:left w:val="nil"/>
              <w:bottom w:val="single" w:sz="6" w:space="0" w:color="auto"/>
              <w:right w:val="single" w:sz="6" w:space="0" w:color="auto"/>
            </w:tcBorders>
            <w:vAlign w:val="bottom"/>
            <w:hideMark/>
          </w:tcPr>
          <w:p w14:paraId="2D10BF36" w14:textId="2E52F538"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1.081.410.761,48</w:t>
            </w:r>
          </w:p>
        </w:tc>
        <w:tc>
          <w:tcPr>
            <w:tcW w:w="1350" w:type="dxa"/>
            <w:tcBorders>
              <w:top w:val="nil"/>
              <w:left w:val="nil"/>
              <w:bottom w:val="single" w:sz="6" w:space="0" w:color="auto"/>
              <w:right w:val="single" w:sz="6" w:space="0" w:color="auto"/>
            </w:tcBorders>
            <w:vAlign w:val="bottom"/>
            <w:hideMark/>
          </w:tcPr>
          <w:p w14:paraId="76844D1D" w14:textId="4E711BEC"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1.081.410.761,48</w:t>
            </w:r>
          </w:p>
        </w:tc>
        <w:tc>
          <w:tcPr>
            <w:tcW w:w="1350" w:type="dxa"/>
            <w:tcBorders>
              <w:top w:val="nil"/>
              <w:left w:val="nil"/>
              <w:bottom w:val="single" w:sz="6" w:space="0" w:color="auto"/>
              <w:right w:val="single" w:sz="6" w:space="0" w:color="auto"/>
            </w:tcBorders>
            <w:vAlign w:val="bottom"/>
            <w:hideMark/>
          </w:tcPr>
          <w:p w14:paraId="4C8F41DA" w14:textId="279605FE"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1.081.410.761,48</w:t>
            </w:r>
          </w:p>
        </w:tc>
        <w:tc>
          <w:tcPr>
            <w:tcW w:w="1425" w:type="dxa"/>
            <w:tcBorders>
              <w:top w:val="nil"/>
              <w:left w:val="nil"/>
              <w:bottom w:val="single" w:sz="6" w:space="0" w:color="auto"/>
              <w:right w:val="single" w:sz="6" w:space="0" w:color="auto"/>
            </w:tcBorders>
            <w:vAlign w:val="bottom"/>
            <w:hideMark/>
          </w:tcPr>
          <w:p w14:paraId="2EDE2CD3" w14:textId="269EF075"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53</w:t>
            </w:r>
          </w:p>
        </w:tc>
      </w:tr>
      <w:tr w:rsidR="006A537F" w:rsidRPr="006A537F" w14:paraId="74D806F8"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3AB07B32" w14:textId="000BD434"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Risaralda</w:t>
            </w:r>
          </w:p>
        </w:tc>
        <w:tc>
          <w:tcPr>
            <w:tcW w:w="1350" w:type="dxa"/>
            <w:tcBorders>
              <w:top w:val="nil"/>
              <w:left w:val="nil"/>
              <w:bottom w:val="single" w:sz="6" w:space="0" w:color="auto"/>
              <w:right w:val="single" w:sz="6" w:space="0" w:color="auto"/>
            </w:tcBorders>
            <w:vAlign w:val="bottom"/>
            <w:hideMark/>
          </w:tcPr>
          <w:p w14:paraId="1F730AFA" w14:textId="58C6CB1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294.809.296,00</w:t>
            </w:r>
          </w:p>
        </w:tc>
        <w:tc>
          <w:tcPr>
            <w:tcW w:w="1350" w:type="dxa"/>
            <w:tcBorders>
              <w:top w:val="nil"/>
              <w:left w:val="nil"/>
              <w:bottom w:val="single" w:sz="6" w:space="0" w:color="auto"/>
              <w:right w:val="single" w:sz="6" w:space="0" w:color="auto"/>
            </w:tcBorders>
            <w:vAlign w:val="bottom"/>
            <w:hideMark/>
          </w:tcPr>
          <w:p w14:paraId="1B78DC2F" w14:textId="3F96203D"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294.809.296,00</w:t>
            </w:r>
          </w:p>
        </w:tc>
        <w:tc>
          <w:tcPr>
            <w:tcW w:w="1350" w:type="dxa"/>
            <w:tcBorders>
              <w:top w:val="nil"/>
              <w:left w:val="nil"/>
              <w:bottom w:val="single" w:sz="6" w:space="0" w:color="auto"/>
              <w:right w:val="single" w:sz="6" w:space="0" w:color="auto"/>
            </w:tcBorders>
            <w:vAlign w:val="bottom"/>
            <w:hideMark/>
          </w:tcPr>
          <w:p w14:paraId="06A3B5DE" w14:textId="644915DB"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294.809.296,00</w:t>
            </w:r>
          </w:p>
        </w:tc>
        <w:tc>
          <w:tcPr>
            <w:tcW w:w="1350" w:type="dxa"/>
            <w:tcBorders>
              <w:top w:val="nil"/>
              <w:left w:val="nil"/>
              <w:bottom w:val="single" w:sz="6" w:space="0" w:color="auto"/>
              <w:right w:val="single" w:sz="6" w:space="0" w:color="auto"/>
            </w:tcBorders>
            <w:vAlign w:val="bottom"/>
            <w:hideMark/>
          </w:tcPr>
          <w:p w14:paraId="5184C15E" w14:textId="4170A27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294.809.296,00</w:t>
            </w:r>
          </w:p>
        </w:tc>
        <w:tc>
          <w:tcPr>
            <w:tcW w:w="1425" w:type="dxa"/>
            <w:tcBorders>
              <w:top w:val="nil"/>
              <w:left w:val="nil"/>
              <w:bottom w:val="single" w:sz="6" w:space="0" w:color="auto"/>
              <w:right w:val="single" w:sz="6" w:space="0" w:color="auto"/>
            </w:tcBorders>
            <w:vAlign w:val="bottom"/>
            <w:hideMark/>
          </w:tcPr>
          <w:p w14:paraId="6CFB0412" w14:textId="3A7B7F8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11</w:t>
            </w:r>
          </w:p>
        </w:tc>
      </w:tr>
      <w:tr w:rsidR="006A537F" w:rsidRPr="006A537F" w14:paraId="622498BB"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1E904F9B" w14:textId="60D8860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Norte de Santander</w:t>
            </w:r>
          </w:p>
        </w:tc>
        <w:tc>
          <w:tcPr>
            <w:tcW w:w="1350" w:type="dxa"/>
            <w:tcBorders>
              <w:top w:val="nil"/>
              <w:left w:val="nil"/>
              <w:bottom w:val="single" w:sz="6" w:space="0" w:color="auto"/>
              <w:right w:val="single" w:sz="6" w:space="0" w:color="auto"/>
            </w:tcBorders>
            <w:vAlign w:val="bottom"/>
            <w:hideMark/>
          </w:tcPr>
          <w:p w14:paraId="214ABC5C" w14:textId="5D69DE2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532.740.446,36</w:t>
            </w:r>
          </w:p>
        </w:tc>
        <w:tc>
          <w:tcPr>
            <w:tcW w:w="1350" w:type="dxa"/>
            <w:tcBorders>
              <w:top w:val="nil"/>
              <w:left w:val="nil"/>
              <w:bottom w:val="single" w:sz="6" w:space="0" w:color="auto"/>
              <w:right w:val="single" w:sz="6" w:space="0" w:color="auto"/>
            </w:tcBorders>
            <w:vAlign w:val="bottom"/>
            <w:hideMark/>
          </w:tcPr>
          <w:p w14:paraId="4B28E119" w14:textId="7D5F9527"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532.740.446,36</w:t>
            </w:r>
          </w:p>
        </w:tc>
        <w:tc>
          <w:tcPr>
            <w:tcW w:w="1350" w:type="dxa"/>
            <w:tcBorders>
              <w:top w:val="nil"/>
              <w:left w:val="nil"/>
              <w:bottom w:val="single" w:sz="6" w:space="0" w:color="auto"/>
              <w:right w:val="single" w:sz="6" w:space="0" w:color="auto"/>
            </w:tcBorders>
            <w:vAlign w:val="bottom"/>
            <w:hideMark/>
          </w:tcPr>
          <w:p w14:paraId="7A506773" w14:textId="62D86CB1"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532.740.446,36</w:t>
            </w:r>
          </w:p>
        </w:tc>
        <w:tc>
          <w:tcPr>
            <w:tcW w:w="1350" w:type="dxa"/>
            <w:tcBorders>
              <w:top w:val="nil"/>
              <w:left w:val="nil"/>
              <w:bottom w:val="single" w:sz="6" w:space="0" w:color="auto"/>
              <w:right w:val="single" w:sz="6" w:space="0" w:color="auto"/>
            </w:tcBorders>
            <w:vAlign w:val="bottom"/>
            <w:hideMark/>
          </w:tcPr>
          <w:p w14:paraId="799DB224" w14:textId="191563C2"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532.740.446,36</w:t>
            </w:r>
          </w:p>
        </w:tc>
        <w:tc>
          <w:tcPr>
            <w:tcW w:w="1425" w:type="dxa"/>
            <w:tcBorders>
              <w:top w:val="nil"/>
              <w:left w:val="nil"/>
              <w:bottom w:val="single" w:sz="6" w:space="0" w:color="auto"/>
              <w:right w:val="single" w:sz="6" w:space="0" w:color="auto"/>
            </w:tcBorders>
            <w:vAlign w:val="bottom"/>
            <w:hideMark/>
          </w:tcPr>
          <w:p w14:paraId="31C80996" w14:textId="2ED88C1A"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21</w:t>
            </w:r>
          </w:p>
        </w:tc>
      </w:tr>
      <w:tr w:rsidR="006A537F" w:rsidRPr="006A537F" w14:paraId="214494FF"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31042496" w14:textId="6D9AFB7B"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Santander</w:t>
            </w:r>
          </w:p>
        </w:tc>
        <w:tc>
          <w:tcPr>
            <w:tcW w:w="1350" w:type="dxa"/>
            <w:tcBorders>
              <w:top w:val="nil"/>
              <w:left w:val="nil"/>
              <w:bottom w:val="single" w:sz="6" w:space="0" w:color="auto"/>
              <w:right w:val="single" w:sz="6" w:space="0" w:color="auto"/>
            </w:tcBorders>
            <w:vAlign w:val="bottom"/>
            <w:hideMark/>
          </w:tcPr>
          <w:p w14:paraId="06FC627E" w14:textId="417CBC90"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377.835.240,64</w:t>
            </w:r>
          </w:p>
        </w:tc>
        <w:tc>
          <w:tcPr>
            <w:tcW w:w="1350" w:type="dxa"/>
            <w:tcBorders>
              <w:top w:val="nil"/>
              <w:left w:val="nil"/>
              <w:bottom w:val="single" w:sz="6" w:space="0" w:color="auto"/>
              <w:right w:val="single" w:sz="6" w:space="0" w:color="auto"/>
            </w:tcBorders>
            <w:vAlign w:val="bottom"/>
            <w:hideMark/>
          </w:tcPr>
          <w:p w14:paraId="1B5B20A4" w14:textId="56EA06EE"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377.835.240,64</w:t>
            </w:r>
          </w:p>
        </w:tc>
        <w:tc>
          <w:tcPr>
            <w:tcW w:w="1350" w:type="dxa"/>
            <w:tcBorders>
              <w:top w:val="nil"/>
              <w:left w:val="nil"/>
              <w:bottom w:val="single" w:sz="6" w:space="0" w:color="auto"/>
              <w:right w:val="single" w:sz="6" w:space="0" w:color="auto"/>
            </w:tcBorders>
            <w:vAlign w:val="bottom"/>
            <w:hideMark/>
          </w:tcPr>
          <w:p w14:paraId="11FFF525" w14:textId="23CE9EFD"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377.835.240,64</w:t>
            </w:r>
          </w:p>
        </w:tc>
        <w:tc>
          <w:tcPr>
            <w:tcW w:w="1350" w:type="dxa"/>
            <w:tcBorders>
              <w:top w:val="nil"/>
              <w:left w:val="nil"/>
              <w:bottom w:val="single" w:sz="6" w:space="0" w:color="auto"/>
              <w:right w:val="single" w:sz="6" w:space="0" w:color="auto"/>
            </w:tcBorders>
            <w:vAlign w:val="bottom"/>
            <w:hideMark/>
          </w:tcPr>
          <w:p w14:paraId="236C3D72" w14:textId="64A0C99D"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377.835.240,64</w:t>
            </w:r>
          </w:p>
        </w:tc>
        <w:tc>
          <w:tcPr>
            <w:tcW w:w="1425" w:type="dxa"/>
            <w:tcBorders>
              <w:top w:val="nil"/>
              <w:left w:val="nil"/>
              <w:bottom w:val="single" w:sz="6" w:space="0" w:color="auto"/>
              <w:right w:val="single" w:sz="6" w:space="0" w:color="auto"/>
            </w:tcBorders>
            <w:vAlign w:val="bottom"/>
            <w:hideMark/>
          </w:tcPr>
          <w:p w14:paraId="0A7E1050" w14:textId="44839969"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10</w:t>
            </w:r>
          </w:p>
        </w:tc>
      </w:tr>
      <w:tr w:rsidR="006A537F" w:rsidRPr="006A537F" w14:paraId="22F0B6BC"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5F14BC7F" w14:textId="6DAEA0F5"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Sucre</w:t>
            </w:r>
          </w:p>
        </w:tc>
        <w:tc>
          <w:tcPr>
            <w:tcW w:w="1350" w:type="dxa"/>
            <w:tcBorders>
              <w:top w:val="nil"/>
              <w:left w:val="nil"/>
              <w:bottom w:val="single" w:sz="6" w:space="0" w:color="auto"/>
              <w:right w:val="single" w:sz="6" w:space="0" w:color="auto"/>
            </w:tcBorders>
            <w:vAlign w:val="bottom"/>
            <w:hideMark/>
          </w:tcPr>
          <w:p w14:paraId="39904761" w14:textId="695AA8D7"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578.225.002,02</w:t>
            </w:r>
          </w:p>
        </w:tc>
        <w:tc>
          <w:tcPr>
            <w:tcW w:w="1350" w:type="dxa"/>
            <w:tcBorders>
              <w:top w:val="nil"/>
              <w:left w:val="nil"/>
              <w:bottom w:val="single" w:sz="6" w:space="0" w:color="auto"/>
              <w:right w:val="single" w:sz="6" w:space="0" w:color="auto"/>
            </w:tcBorders>
            <w:vAlign w:val="bottom"/>
            <w:hideMark/>
          </w:tcPr>
          <w:p w14:paraId="6F0F15A6" w14:textId="6B18CBC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578.225.002,02</w:t>
            </w:r>
          </w:p>
        </w:tc>
        <w:tc>
          <w:tcPr>
            <w:tcW w:w="1350" w:type="dxa"/>
            <w:tcBorders>
              <w:top w:val="nil"/>
              <w:left w:val="nil"/>
              <w:bottom w:val="single" w:sz="6" w:space="0" w:color="auto"/>
              <w:right w:val="single" w:sz="6" w:space="0" w:color="auto"/>
            </w:tcBorders>
            <w:vAlign w:val="bottom"/>
            <w:hideMark/>
          </w:tcPr>
          <w:p w14:paraId="30BE7119" w14:textId="48B61DD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578.225.002,02</w:t>
            </w:r>
          </w:p>
        </w:tc>
        <w:tc>
          <w:tcPr>
            <w:tcW w:w="1350" w:type="dxa"/>
            <w:tcBorders>
              <w:top w:val="nil"/>
              <w:left w:val="nil"/>
              <w:bottom w:val="single" w:sz="6" w:space="0" w:color="auto"/>
              <w:right w:val="single" w:sz="6" w:space="0" w:color="auto"/>
            </w:tcBorders>
            <w:vAlign w:val="bottom"/>
            <w:hideMark/>
          </w:tcPr>
          <w:p w14:paraId="1505A639" w14:textId="0763787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578.225.002,02</w:t>
            </w:r>
          </w:p>
        </w:tc>
        <w:tc>
          <w:tcPr>
            <w:tcW w:w="1425" w:type="dxa"/>
            <w:tcBorders>
              <w:top w:val="nil"/>
              <w:left w:val="nil"/>
              <w:bottom w:val="single" w:sz="6" w:space="0" w:color="auto"/>
              <w:right w:val="single" w:sz="6" w:space="0" w:color="auto"/>
            </w:tcBorders>
            <w:vAlign w:val="bottom"/>
            <w:hideMark/>
          </w:tcPr>
          <w:p w14:paraId="14C69FE4" w14:textId="07A1346E"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33</w:t>
            </w:r>
          </w:p>
        </w:tc>
      </w:tr>
      <w:tr w:rsidR="006A537F" w:rsidRPr="006A537F" w14:paraId="0090599C"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079F1A06" w14:textId="5F61B9D5"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Valle del Cauca</w:t>
            </w:r>
          </w:p>
        </w:tc>
        <w:tc>
          <w:tcPr>
            <w:tcW w:w="1350" w:type="dxa"/>
            <w:tcBorders>
              <w:top w:val="nil"/>
              <w:left w:val="nil"/>
              <w:bottom w:val="single" w:sz="6" w:space="0" w:color="auto"/>
              <w:right w:val="single" w:sz="6" w:space="0" w:color="auto"/>
            </w:tcBorders>
            <w:vAlign w:val="bottom"/>
            <w:hideMark/>
          </w:tcPr>
          <w:p w14:paraId="7DB615D8" w14:textId="560C39B7"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1.617.655.240,86</w:t>
            </w:r>
          </w:p>
        </w:tc>
        <w:tc>
          <w:tcPr>
            <w:tcW w:w="1350" w:type="dxa"/>
            <w:tcBorders>
              <w:top w:val="nil"/>
              <w:left w:val="nil"/>
              <w:bottom w:val="single" w:sz="6" w:space="0" w:color="auto"/>
              <w:right w:val="single" w:sz="6" w:space="0" w:color="auto"/>
            </w:tcBorders>
            <w:vAlign w:val="bottom"/>
            <w:hideMark/>
          </w:tcPr>
          <w:p w14:paraId="4D70EC1D" w14:textId="314E59AD"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1.617.655.240,86</w:t>
            </w:r>
          </w:p>
        </w:tc>
        <w:tc>
          <w:tcPr>
            <w:tcW w:w="1350" w:type="dxa"/>
            <w:tcBorders>
              <w:top w:val="nil"/>
              <w:left w:val="nil"/>
              <w:bottom w:val="single" w:sz="6" w:space="0" w:color="auto"/>
              <w:right w:val="single" w:sz="6" w:space="0" w:color="auto"/>
            </w:tcBorders>
            <w:vAlign w:val="bottom"/>
            <w:hideMark/>
          </w:tcPr>
          <w:p w14:paraId="001EFD10" w14:textId="0DA370FD"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1.617.655.240,86</w:t>
            </w:r>
          </w:p>
        </w:tc>
        <w:tc>
          <w:tcPr>
            <w:tcW w:w="1350" w:type="dxa"/>
            <w:tcBorders>
              <w:top w:val="nil"/>
              <w:left w:val="nil"/>
              <w:bottom w:val="single" w:sz="6" w:space="0" w:color="auto"/>
              <w:right w:val="single" w:sz="6" w:space="0" w:color="auto"/>
            </w:tcBorders>
            <w:vAlign w:val="bottom"/>
            <w:hideMark/>
          </w:tcPr>
          <w:p w14:paraId="3FDF1133" w14:textId="0E10F3FA"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1.617.655.240,86</w:t>
            </w:r>
          </w:p>
        </w:tc>
        <w:tc>
          <w:tcPr>
            <w:tcW w:w="1425" w:type="dxa"/>
            <w:tcBorders>
              <w:top w:val="nil"/>
              <w:left w:val="nil"/>
              <w:bottom w:val="single" w:sz="6" w:space="0" w:color="auto"/>
              <w:right w:val="single" w:sz="6" w:space="0" w:color="auto"/>
            </w:tcBorders>
            <w:vAlign w:val="bottom"/>
            <w:hideMark/>
          </w:tcPr>
          <w:p w14:paraId="6BA3A8D1" w14:textId="4E6506EC"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88</w:t>
            </w:r>
          </w:p>
        </w:tc>
      </w:tr>
      <w:tr w:rsidR="006A537F" w:rsidRPr="006A537F" w14:paraId="33CABE2F" w14:textId="77777777" w:rsidTr="007547E3">
        <w:trPr>
          <w:trHeight w:val="300"/>
          <w:jc w:val="center"/>
        </w:trPr>
        <w:tc>
          <w:tcPr>
            <w:tcW w:w="1920" w:type="dxa"/>
            <w:tcBorders>
              <w:top w:val="nil"/>
              <w:left w:val="single" w:sz="6" w:space="0" w:color="auto"/>
              <w:bottom w:val="single" w:sz="6" w:space="0" w:color="auto"/>
              <w:right w:val="single" w:sz="6" w:space="0" w:color="auto"/>
            </w:tcBorders>
            <w:vAlign w:val="bottom"/>
            <w:hideMark/>
          </w:tcPr>
          <w:p w14:paraId="3CCA5691" w14:textId="432310B2"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Por regionalizar</w:t>
            </w:r>
          </w:p>
        </w:tc>
        <w:tc>
          <w:tcPr>
            <w:tcW w:w="1350" w:type="dxa"/>
            <w:tcBorders>
              <w:top w:val="nil"/>
              <w:left w:val="nil"/>
              <w:bottom w:val="single" w:sz="6" w:space="0" w:color="auto"/>
              <w:right w:val="single" w:sz="6" w:space="0" w:color="auto"/>
            </w:tcBorders>
            <w:vAlign w:val="bottom"/>
            <w:hideMark/>
          </w:tcPr>
          <w:p w14:paraId="3967C88D" w14:textId="2E0EF3C1"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3.669.328.032,92</w:t>
            </w:r>
          </w:p>
        </w:tc>
        <w:tc>
          <w:tcPr>
            <w:tcW w:w="1350" w:type="dxa"/>
            <w:tcBorders>
              <w:top w:val="nil"/>
              <w:left w:val="nil"/>
              <w:bottom w:val="single" w:sz="6" w:space="0" w:color="auto"/>
              <w:right w:val="single" w:sz="6" w:space="0" w:color="auto"/>
            </w:tcBorders>
            <w:vAlign w:val="bottom"/>
            <w:hideMark/>
          </w:tcPr>
          <w:p w14:paraId="5D85A04A" w14:textId="25D3074F"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2.300.449.244,00</w:t>
            </w:r>
          </w:p>
        </w:tc>
        <w:tc>
          <w:tcPr>
            <w:tcW w:w="1350" w:type="dxa"/>
            <w:tcBorders>
              <w:top w:val="nil"/>
              <w:left w:val="nil"/>
              <w:bottom w:val="single" w:sz="6" w:space="0" w:color="auto"/>
              <w:right w:val="single" w:sz="6" w:space="0" w:color="auto"/>
            </w:tcBorders>
            <w:vAlign w:val="bottom"/>
            <w:hideMark/>
          </w:tcPr>
          <w:p w14:paraId="6A631344" w14:textId="52325002"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0,00</w:t>
            </w:r>
          </w:p>
        </w:tc>
        <w:tc>
          <w:tcPr>
            <w:tcW w:w="1350" w:type="dxa"/>
            <w:tcBorders>
              <w:top w:val="nil"/>
              <w:left w:val="nil"/>
              <w:bottom w:val="single" w:sz="6" w:space="0" w:color="auto"/>
              <w:right w:val="single" w:sz="6" w:space="0" w:color="auto"/>
            </w:tcBorders>
            <w:vAlign w:val="bottom"/>
            <w:hideMark/>
          </w:tcPr>
          <w:p w14:paraId="75E7167B" w14:textId="3B6C7EA2"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0,00</w:t>
            </w:r>
          </w:p>
        </w:tc>
        <w:tc>
          <w:tcPr>
            <w:tcW w:w="1425" w:type="dxa"/>
            <w:tcBorders>
              <w:top w:val="nil"/>
              <w:left w:val="nil"/>
              <w:bottom w:val="single" w:sz="6" w:space="0" w:color="auto"/>
              <w:right w:val="single" w:sz="6" w:space="0" w:color="auto"/>
            </w:tcBorders>
            <w:vAlign w:val="bottom"/>
            <w:hideMark/>
          </w:tcPr>
          <w:p w14:paraId="3D565369" w14:textId="14C776F6" w:rsidR="006A537F" w:rsidRPr="006A537F" w:rsidRDefault="006A537F" w:rsidP="007547E3">
            <w:pPr>
              <w:jc w:val="center"/>
              <w:rPr>
                <w:rFonts w:ascii="Arial" w:hAnsi="Arial" w:cs="Arial"/>
                <w:sz w:val="16"/>
                <w:szCs w:val="16"/>
                <w:lang w:val="es-MX"/>
              </w:rPr>
            </w:pPr>
            <w:r w:rsidRPr="006A537F">
              <w:rPr>
                <w:rFonts w:ascii="Arial" w:hAnsi="Arial" w:cs="Arial"/>
                <w:sz w:val="16"/>
                <w:szCs w:val="16"/>
              </w:rPr>
              <w:t>38</w:t>
            </w:r>
          </w:p>
        </w:tc>
      </w:tr>
      <w:tr w:rsidR="006A537F" w:rsidRPr="006A537F" w14:paraId="34DE40D9" w14:textId="77777777" w:rsidTr="007547E3">
        <w:trPr>
          <w:trHeight w:val="285"/>
          <w:jc w:val="center"/>
        </w:trPr>
        <w:tc>
          <w:tcPr>
            <w:tcW w:w="1920" w:type="dxa"/>
            <w:tcBorders>
              <w:top w:val="nil"/>
              <w:left w:val="single" w:sz="6" w:space="0" w:color="auto"/>
              <w:bottom w:val="single" w:sz="6" w:space="0" w:color="auto"/>
              <w:right w:val="single" w:sz="6" w:space="0" w:color="auto"/>
            </w:tcBorders>
            <w:shd w:val="clear" w:color="auto" w:fill="F2F2F2"/>
            <w:vAlign w:val="center"/>
            <w:hideMark/>
          </w:tcPr>
          <w:p w14:paraId="03EEDF27" w14:textId="33446138"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Subtotal Departamentos</w:t>
            </w:r>
          </w:p>
        </w:tc>
        <w:tc>
          <w:tcPr>
            <w:tcW w:w="1350" w:type="dxa"/>
            <w:tcBorders>
              <w:top w:val="nil"/>
              <w:left w:val="nil"/>
              <w:bottom w:val="single" w:sz="6" w:space="0" w:color="auto"/>
              <w:right w:val="single" w:sz="6" w:space="0" w:color="auto"/>
            </w:tcBorders>
            <w:shd w:val="clear" w:color="auto" w:fill="F2F2F2"/>
            <w:vAlign w:val="bottom"/>
            <w:hideMark/>
          </w:tcPr>
          <w:p w14:paraId="7DF398FB" w14:textId="0EA9F787"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28.804.001.924,46</w:t>
            </w:r>
          </w:p>
        </w:tc>
        <w:tc>
          <w:tcPr>
            <w:tcW w:w="1350" w:type="dxa"/>
            <w:tcBorders>
              <w:top w:val="nil"/>
              <w:left w:val="nil"/>
              <w:bottom w:val="single" w:sz="6" w:space="0" w:color="auto"/>
              <w:right w:val="single" w:sz="6" w:space="0" w:color="auto"/>
            </w:tcBorders>
            <w:shd w:val="clear" w:color="auto" w:fill="F2F2F2"/>
            <w:vAlign w:val="bottom"/>
            <w:hideMark/>
          </w:tcPr>
          <w:p w14:paraId="0540CFC5" w14:textId="2BCC23CA"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27.435.123.135,54</w:t>
            </w:r>
          </w:p>
        </w:tc>
        <w:tc>
          <w:tcPr>
            <w:tcW w:w="1350" w:type="dxa"/>
            <w:tcBorders>
              <w:top w:val="nil"/>
              <w:left w:val="nil"/>
              <w:bottom w:val="single" w:sz="6" w:space="0" w:color="auto"/>
              <w:right w:val="single" w:sz="6" w:space="0" w:color="auto"/>
            </w:tcBorders>
            <w:shd w:val="clear" w:color="auto" w:fill="F2F2F2"/>
            <w:vAlign w:val="bottom"/>
            <w:hideMark/>
          </w:tcPr>
          <w:p w14:paraId="226F7257" w14:textId="6F343C1C"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25.134.673.891,54</w:t>
            </w:r>
          </w:p>
        </w:tc>
        <w:tc>
          <w:tcPr>
            <w:tcW w:w="1350" w:type="dxa"/>
            <w:tcBorders>
              <w:top w:val="nil"/>
              <w:left w:val="nil"/>
              <w:bottom w:val="single" w:sz="6" w:space="0" w:color="auto"/>
              <w:right w:val="single" w:sz="6" w:space="0" w:color="auto"/>
            </w:tcBorders>
            <w:shd w:val="clear" w:color="auto" w:fill="F2F2F2"/>
            <w:vAlign w:val="bottom"/>
            <w:hideMark/>
          </w:tcPr>
          <w:p w14:paraId="288228CE" w14:textId="4C42EB43"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25.134.673.891,54</w:t>
            </w:r>
          </w:p>
        </w:tc>
        <w:tc>
          <w:tcPr>
            <w:tcW w:w="1425" w:type="dxa"/>
            <w:tcBorders>
              <w:top w:val="nil"/>
              <w:left w:val="nil"/>
              <w:bottom w:val="single" w:sz="6" w:space="0" w:color="auto"/>
              <w:right w:val="single" w:sz="6" w:space="0" w:color="auto"/>
            </w:tcBorders>
            <w:shd w:val="clear" w:color="auto" w:fill="F2F2F2"/>
            <w:vAlign w:val="bottom"/>
            <w:hideMark/>
          </w:tcPr>
          <w:p w14:paraId="24643F54" w14:textId="432B6C12"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1.343</w:t>
            </w:r>
          </w:p>
        </w:tc>
      </w:tr>
      <w:tr w:rsidR="006A537F" w:rsidRPr="006A537F" w14:paraId="204920D0" w14:textId="77777777" w:rsidTr="007547E3">
        <w:trPr>
          <w:trHeight w:val="285"/>
          <w:jc w:val="center"/>
        </w:trPr>
        <w:tc>
          <w:tcPr>
            <w:tcW w:w="1920" w:type="dxa"/>
            <w:tcBorders>
              <w:top w:val="nil"/>
              <w:left w:val="single" w:sz="6" w:space="0" w:color="auto"/>
              <w:bottom w:val="single" w:sz="6" w:space="0" w:color="auto"/>
              <w:right w:val="single" w:sz="6" w:space="0" w:color="auto"/>
            </w:tcBorders>
            <w:shd w:val="clear" w:color="auto" w:fill="F2F2F2"/>
            <w:vAlign w:val="center"/>
            <w:hideMark/>
          </w:tcPr>
          <w:p w14:paraId="4D6A9BAC" w14:textId="6152720A"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Nacional</w:t>
            </w:r>
          </w:p>
        </w:tc>
        <w:tc>
          <w:tcPr>
            <w:tcW w:w="1350" w:type="dxa"/>
            <w:tcBorders>
              <w:top w:val="nil"/>
              <w:left w:val="nil"/>
              <w:bottom w:val="single" w:sz="6" w:space="0" w:color="auto"/>
              <w:right w:val="single" w:sz="6" w:space="0" w:color="auto"/>
            </w:tcBorders>
            <w:shd w:val="clear" w:color="auto" w:fill="F2F2F2"/>
            <w:vAlign w:val="bottom"/>
            <w:hideMark/>
          </w:tcPr>
          <w:p w14:paraId="0DE30355" w14:textId="2989A34D"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11.151.781.725,53</w:t>
            </w:r>
          </w:p>
        </w:tc>
        <w:tc>
          <w:tcPr>
            <w:tcW w:w="1350" w:type="dxa"/>
            <w:tcBorders>
              <w:top w:val="nil"/>
              <w:left w:val="nil"/>
              <w:bottom w:val="single" w:sz="6" w:space="0" w:color="auto"/>
              <w:right w:val="single" w:sz="6" w:space="0" w:color="auto"/>
            </w:tcBorders>
            <w:shd w:val="clear" w:color="auto" w:fill="F2F2F2"/>
            <w:vAlign w:val="bottom"/>
            <w:hideMark/>
          </w:tcPr>
          <w:p w14:paraId="5903924B" w14:textId="5185B7CD"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10.948.766.347,00</w:t>
            </w:r>
          </w:p>
        </w:tc>
        <w:tc>
          <w:tcPr>
            <w:tcW w:w="1350" w:type="dxa"/>
            <w:tcBorders>
              <w:top w:val="nil"/>
              <w:left w:val="nil"/>
              <w:bottom w:val="single" w:sz="6" w:space="0" w:color="auto"/>
              <w:right w:val="single" w:sz="6" w:space="0" w:color="auto"/>
            </w:tcBorders>
            <w:shd w:val="clear" w:color="auto" w:fill="F2F2F2"/>
            <w:vAlign w:val="bottom"/>
            <w:hideMark/>
          </w:tcPr>
          <w:p w14:paraId="79102CD8" w14:textId="41F2E0C7"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7.095.072.054,00</w:t>
            </w:r>
          </w:p>
        </w:tc>
        <w:tc>
          <w:tcPr>
            <w:tcW w:w="1350" w:type="dxa"/>
            <w:tcBorders>
              <w:top w:val="nil"/>
              <w:left w:val="nil"/>
              <w:bottom w:val="single" w:sz="6" w:space="0" w:color="auto"/>
              <w:right w:val="single" w:sz="6" w:space="0" w:color="auto"/>
            </w:tcBorders>
            <w:shd w:val="clear" w:color="auto" w:fill="F2F2F2"/>
            <w:vAlign w:val="bottom"/>
            <w:hideMark/>
          </w:tcPr>
          <w:p w14:paraId="7C95665B" w14:textId="3E483E16"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7.095.072.054,00</w:t>
            </w:r>
          </w:p>
        </w:tc>
        <w:tc>
          <w:tcPr>
            <w:tcW w:w="1425" w:type="dxa"/>
            <w:tcBorders>
              <w:top w:val="nil"/>
              <w:left w:val="nil"/>
              <w:bottom w:val="single" w:sz="6" w:space="0" w:color="auto"/>
              <w:right w:val="single" w:sz="6" w:space="0" w:color="auto"/>
            </w:tcBorders>
            <w:shd w:val="clear" w:color="auto" w:fill="F2F2F2"/>
            <w:vAlign w:val="bottom"/>
            <w:hideMark/>
          </w:tcPr>
          <w:p w14:paraId="0A84B60F" w14:textId="73DDCAEC"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0</w:t>
            </w:r>
          </w:p>
        </w:tc>
      </w:tr>
      <w:tr w:rsidR="006A537F" w:rsidRPr="006A537F" w14:paraId="20A2E78C" w14:textId="77777777" w:rsidTr="007547E3">
        <w:trPr>
          <w:trHeight w:val="315"/>
          <w:jc w:val="center"/>
        </w:trPr>
        <w:tc>
          <w:tcPr>
            <w:tcW w:w="1920" w:type="dxa"/>
            <w:tcBorders>
              <w:top w:val="nil"/>
              <w:left w:val="single" w:sz="6" w:space="0" w:color="auto"/>
              <w:bottom w:val="single" w:sz="6" w:space="0" w:color="auto"/>
              <w:right w:val="single" w:sz="6" w:space="0" w:color="auto"/>
            </w:tcBorders>
            <w:shd w:val="clear" w:color="auto" w:fill="F2F2F2"/>
            <w:vAlign w:val="center"/>
            <w:hideMark/>
          </w:tcPr>
          <w:p w14:paraId="307C8A5B" w14:textId="32EDDB86"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Total</w:t>
            </w:r>
          </w:p>
        </w:tc>
        <w:tc>
          <w:tcPr>
            <w:tcW w:w="1350" w:type="dxa"/>
            <w:tcBorders>
              <w:top w:val="nil"/>
              <w:left w:val="nil"/>
              <w:bottom w:val="single" w:sz="6" w:space="0" w:color="auto"/>
              <w:right w:val="single" w:sz="6" w:space="0" w:color="auto"/>
            </w:tcBorders>
            <w:shd w:val="clear" w:color="auto" w:fill="F2F2F2"/>
            <w:vAlign w:val="bottom"/>
            <w:hideMark/>
          </w:tcPr>
          <w:p w14:paraId="34D480C7" w14:textId="204A8FB9"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39.955.783.649,99</w:t>
            </w:r>
          </w:p>
        </w:tc>
        <w:tc>
          <w:tcPr>
            <w:tcW w:w="1350" w:type="dxa"/>
            <w:tcBorders>
              <w:top w:val="nil"/>
              <w:left w:val="nil"/>
              <w:bottom w:val="single" w:sz="6" w:space="0" w:color="auto"/>
              <w:right w:val="single" w:sz="6" w:space="0" w:color="auto"/>
            </w:tcBorders>
            <w:shd w:val="clear" w:color="auto" w:fill="F2F2F2"/>
            <w:vAlign w:val="bottom"/>
            <w:hideMark/>
          </w:tcPr>
          <w:p w14:paraId="575D2337" w14:textId="11E90EE3"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38.383.889.482,54</w:t>
            </w:r>
          </w:p>
        </w:tc>
        <w:tc>
          <w:tcPr>
            <w:tcW w:w="1350" w:type="dxa"/>
            <w:tcBorders>
              <w:top w:val="nil"/>
              <w:left w:val="nil"/>
              <w:bottom w:val="single" w:sz="6" w:space="0" w:color="auto"/>
              <w:right w:val="single" w:sz="6" w:space="0" w:color="auto"/>
            </w:tcBorders>
            <w:shd w:val="clear" w:color="auto" w:fill="F2F2F2"/>
            <w:vAlign w:val="bottom"/>
            <w:hideMark/>
          </w:tcPr>
          <w:p w14:paraId="2B1CD56A" w14:textId="1DA60DA2"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32.229.745.945,54</w:t>
            </w:r>
          </w:p>
        </w:tc>
        <w:tc>
          <w:tcPr>
            <w:tcW w:w="1350" w:type="dxa"/>
            <w:tcBorders>
              <w:top w:val="nil"/>
              <w:left w:val="nil"/>
              <w:bottom w:val="single" w:sz="6" w:space="0" w:color="auto"/>
              <w:right w:val="single" w:sz="6" w:space="0" w:color="auto"/>
            </w:tcBorders>
            <w:shd w:val="clear" w:color="auto" w:fill="F2F2F2"/>
            <w:vAlign w:val="bottom"/>
            <w:hideMark/>
          </w:tcPr>
          <w:p w14:paraId="0C341495" w14:textId="7482962D"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32.229.745.945,54</w:t>
            </w:r>
          </w:p>
        </w:tc>
        <w:tc>
          <w:tcPr>
            <w:tcW w:w="1425" w:type="dxa"/>
            <w:tcBorders>
              <w:top w:val="nil"/>
              <w:left w:val="nil"/>
              <w:bottom w:val="single" w:sz="6" w:space="0" w:color="auto"/>
              <w:right w:val="single" w:sz="6" w:space="0" w:color="auto"/>
            </w:tcBorders>
            <w:shd w:val="clear" w:color="auto" w:fill="F2F2F2"/>
            <w:vAlign w:val="bottom"/>
            <w:hideMark/>
          </w:tcPr>
          <w:p w14:paraId="45066023" w14:textId="1EBEBE84" w:rsidR="006A537F" w:rsidRPr="006A537F" w:rsidRDefault="006A537F" w:rsidP="007547E3">
            <w:pPr>
              <w:jc w:val="center"/>
              <w:rPr>
                <w:rFonts w:ascii="Arial" w:hAnsi="Arial" w:cs="Arial"/>
                <w:sz w:val="16"/>
                <w:szCs w:val="16"/>
                <w:lang w:val="es-MX"/>
              </w:rPr>
            </w:pPr>
            <w:r w:rsidRPr="006A537F">
              <w:rPr>
                <w:rFonts w:ascii="Arial" w:hAnsi="Arial" w:cs="Arial"/>
                <w:b/>
                <w:bCs/>
                <w:sz w:val="16"/>
                <w:szCs w:val="16"/>
              </w:rPr>
              <w:t>1.343</w:t>
            </w:r>
          </w:p>
        </w:tc>
      </w:tr>
    </w:tbl>
    <w:p w14:paraId="2499AE9E"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lastRenderedPageBreak/>
        <w:t> </w:t>
      </w:r>
    </w:p>
    <w:p w14:paraId="36CCA530"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71B213AE" w14:textId="77777777" w:rsidR="007265C7" w:rsidRDefault="007265C7" w:rsidP="006277BA">
      <w:pPr>
        <w:jc w:val="center"/>
        <w:rPr>
          <w:rFonts w:ascii="Arial" w:hAnsi="Arial" w:cs="Arial"/>
          <w:sz w:val="22"/>
          <w:szCs w:val="22"/>
          <w:lang w:val="es-ES"/>
        </w:rPr>
      </w:pPr>
    </w:p>
    <w:p w14:paraId="2D7477A4" w14:textId="77777777" w:rsidR="007265C7" w:rsidRDefault="007265C7" w:rsidP="006277BA">
      <w:pPr>
        <w:jc w:val="center"/>
        <w:rPr>
          <w:rFonts w:ascii="Arial" w:hAnsi="Arial" w:cs="Arial"/>
          <w:sz w:val="22"/>
          <w:szCs w:val="22"/>
          <w:lang w:val="es-ES"/>
        </w:rPr>
      </w:pPr>
    </w:p>
    <w:p w14:paraId="7841A44B" w14:textId="77777777" w:rsidR="007265C7" w:rsidRDefault="007265C7" w:rsidP="006277BA">
      <w:pPr>
        <w:jc w:val="center"/>
        <w:rPr>
          <w:rFonts w:ascii="Arial" w:hAnsi="Arial" w:cs="Arial"/>
          <w:sz w:val="22"/>
          <w:szCs w:val="22"/>
          <w:lang w:val="es-ES"/>
        </w:rPr>
      </w:pPr>
    </w:p>
    <w:p w14:paraId="1F8363DE" w14:textId="27F36C83" w:rsidR="006A537F" w:rsidRPr="006A537F" w:rsidRDefault="006A537F" w:rsidP="006277BA">
      <w:pPr>
        <w:jc w:val="center"/>
        <w:rPr>
          <w:rFonts w:ascii="Arial" w:hAnsi="Arial" w:cs="Arial"/>
          <w:sz w:val="22"/>
          <w:szCs w:val="22"/>
          <w:lang w:val="es-MX"/>
        </w:rPr>
      </w:pPr>
      <w:r w:rsidRPr="006A537F">
        <w:rPr>
          <w:rFonts w:ascii="Arial" w:hAnsi="Arial" w:cs="Arial"/>
          <w:sz w:val="22"/>
          <w:szCs w:val="22"/>
          <w:lang w:val="es-ES"/>
        </w:rPr>
        <w:t>Tabla</w:t>
      </w:r>
      <w:r w:rsidR="00482DFA">
        <w:rPr>
          <w:rFonts w:ascii="Arial" w:hAnsi="Arial" w:cs="Arial"/>
          <w:sz w:val="22"/>
          <w:szCs w:val="22"/>
          <w:lang w:val="es-ES"/>
        </w:rPr>
        <w:t xml:space="preserve"> 7</w:t>
      </w:r>
      <w:r w:rsidRPr="006A537F">
        <w:rPr>
          <w:rFonts w:ascii="Arial" w:hAnsi="Arial" w:cs="Arial"/>
          <w:sz w:val="22"/>
          <w:szCs w:val="22"/>
          <w:lang w:val="es-ES"/>
        </w:rPr>
        <w:t xml:space="preserve"> de focalización del proyecto</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05"/>
        <w:gridCol w:w="1545"/>
        <w:gridCol w:w="1635"/>
        <w:gridCol w:w="2520"/>
        <w:gridCol w:w="1470"/>
      </w:tblGrid>
      <w:tr w:rsidR="006A537F" w:rsidRPr="006A537F" w14:paraId="33788494" w14:textId="77777777" w:rsidTr="007265C7">
        <w:trPr>
          <w:trHeight w:val="1035"/>
        </w:trPr>
        <w:tc>
          <w:tcPr>
            <w:tcW w:w="1605" w:type="dxa"/>
            <w:tcBorders>
              <w:top w:val="single" w:sz="6" w:space="0" w:color="auto"/>
              <w:left w:val="single" w:sz="6" w:space="0" w:color="auto"/>
              <w:bottom w:val="single" w:sz="6" w:space="0" w:color="auto"/>
              <w:right w:val="single" w:sz="6" w:space="0" w:color="auto"/>
            </w:tcBorders>
            <w:shd w:val="clear" w:color="auto" w:fill="EDEDED"/>
            <w:vAlign w:val="center"/>
            <w:hideMark/>
          </w:tcPr>
          <w:p w14:paraId="0E9B04B5" w14:textId="0948D26D" w:rsidR="006A537F" w:rsidRPr="006A537F" w:rsidRDefault="006A537F" w:rsidP="007265C7">
            <w:pPr>
              <w:jc w:val="center"/>
              <w:rPr>
                <w:rFonts w:ascii="Arial" w:hAnsi="Arial" w:cs="Arial"/>
                <w:sz w:val="18"/>
                <w:szCs w:val="18"/>
                <w:lang w:val="es-MX"/>
              </w:rPr>
            </w:pPr>
            <w:r w:rsidRPr="006A537F">
              <w:rPr>
                <w:rFonts w:ascii="Arial" w:hAnsi="Arial" w:cs="Arial"/>
                <w:b/>
                <w:bCs/>
                <w:sz w:val="18"/>
                <w:szCs w:val="18"/>
              </w:rPr>
              <w:t>Descripción de la focalización realizada</w:t>
            </w:r>
          </w:p>
        </w:tc>
        <w:tc>
          <w:tcPr>
            <w:tcW w:w="1545" w:type="dxa"/>
            <w:tcBorders>
              <w:top w:val="single" w:sz="6" w:space="0" w:color="auto"/>
              <w:left w:val="nil"/>
              <w:bottom w:val="single" w:sz="6" w:space="0" w:color="auto"/>
              <w:right w:val="single" w:sz="6" w:space="0" w:color="auto"/>
            </w:tcBorders>
            <w:shd w:val="clear" w:color="auto" w:fill="EDEDED"/>
            <w:vAlign w:val="center"/>
            <w:hideMark/>
          </w:tcPr>
          <w:p w14:paraId="6C104B0C" w14:textId="07178263" w:rsidR="006A537F" w:rsidRPr="006A537F" w:rsidRDefault="006A537F" w:rsidP="007265C7">
            <w:pPr>
              <w:jc w:val="center"/>
              <w:rPr>
                <w:rFonts w:ascii="Arial" w:hAnsi="Arial" w:cs="Arial"/>
                <w:sz w:val="18"/>
                <w:szCs w:val="18"/>
                <w:lang w:val="es-MX"/>
              </w:rPr>
            </w:pPr>
            <w:r w:rsidRPr="006A537F">
              <w:rPr>
                <w:rFonts w:ascii="Arial" w:hAnsi="Arial" w:cs="Arial"/>
                <w:b/>
                <w:bCs/>
                <w:sz w:val="18"/>
                <w:szCs w:val="18"/>
              </w:rPr>
              <w:t>Valor focalizado para la vigencia</w:t>
            </w:r>
          </w:p>
        </w:tc>
        <w:tc>
          <w:tcPr>
            <w:tcW w:w="1635" w:type="dxa"/>
            <w:tcBorders>
              <w:top w:val="single" w:sz="6" w:space="0" w:color="auto"/>
              <w:left w:val="nil"/>
              <w:bottom w:val="single" w:sz="6" w:space="0" w:color="auto"/>
              <w:right w:val="single" w:sz="6" w:space="0" w:color="auto"/>
            </w:tcBorders>
            <w:shd w:val="clear" w:color="auto" w:fill="EDEDED"/>
            <w:vAlign w:val="center"/>
            <w:hideMark/>
          </w:tcPr>
          <w:p w14:paraId="481C0D82" w14:textId="50C1FE91" w:rsidR="006A537F" w:rsidRPr="006A537F" w:rsidRDefault="006A537F" w:rsidP="007265C7">
            <w:pPr>
              <w:jc w:val="center"/>
              <w:rPr>
                <w:rFonts w:ascii="Arial" w:hAnsi="Arial" w:cs="Arial"/>
                <w:sz w:val="18"/>
                <w:szCs w:val="18"/>
                <w:lang w:val="es-MX"/>
              </w:rPr>
            </w:pPr>
            <w:r w:rsidRPr="006A537F">
              <w:rPr>
                <w:rFonts w:ascii="Arial" w:hAnsi="Arial" w:cs="Arial"/>
                <w:b/>
                <w:bCs/>
                <w:sz w:val="18"/>
                <w:szCs w:val="18"/>
              </w:rPr>
              <w:t>Valor ejecutado</w:t>
            </w:r>
          </w:p>
        </w:tc>
        <w:tc>
          <w:tcPr>
            <w:tcW w:w="2520" w:type="dxa"/>
            <w:tcBorders>
              <w:top w:val="single" w:sz="6" w:space="0" w:color="auto"/>
              <w:left w:val="nil"/>
              <w:bottom w:val="single" w:sz="6" w:space="0" w:color="auto"/>
              <w:right w:val="single" w:sz="6" w:space="0" w:color="auto"/>
            </w:tcBorders>
            <w:shd w:val="clear" w:color="auto" w:fill="EDEDED"/>
            <w:vAlign w:val="center"/>
            <w:hideMark/>
          </w:tcPr>
          <w:p w14:paraId="773F21B2" w14:textId="00248357" w:rsidR="006A537F" w:rsidRPr="006A537F" w:rsidRDefault="006A537F" w:rsidP="007265C7">
            <w:pPr>
              <w:jc w:val="center"/>
              <w:rPr>
                <w:rFonts w:ascii="Arial" w:hAnsi="Arial" w:cs="Arial"/>
                <w:sz w:val="18"/>
                <w:szCs w:val="18"/>
                <w:lang w:val="es-MX"/>
              </w:rPr>
            </w:pPr>
            <w:r w:rsidRPr="006A537F">
              <w:rPr>
                <w:rFonts w:ascii="Arial" w:hAnsi="Arial" w:cs="Arial"/>
                <w:b/>
                <w:bCs/>
                <w:sz w:val="18"/>
                <w:szCs w:val="18"/>
              </w:rPr>
              <w:t>Breve descripción de las acciones realizadas</w:t>
            </w:r>
          </w:p>
        </w:tc>
        <w:tc>
          <w:tcPr>
            <w:tcW w:w="1470" w:type="dxa"/>
            <w:tcBorders>
              <w:top w:val="single" w:sz="6" w:space="0" w:color="auto"/>
              <w:left w:val="nil"/>
              <w:bottom w:val="single" w:sz="6" w:space="0" w:color="auto"/>
              <w:right w:val="single" w:sz="6" w:space="0" w:color="auto"/>
            </w:tcBorders>
            <w:shd w:val="clear" w:color="auto" w:fill="EDEDED"/>
            <w:vAlign w:val="center"/>
            <w:hideMark/>
          </w:tcPr>
          <w:p w14:paraId="4BFC91F7" w14:textId="349122F0" w:rsidR="006A537F" w:rsidRPr="006A537F" w:rsidRDefault="006A537F" w:rsidP="007265C7">
            <w:pPr>
              <w:jc w:val="center"/>
              <w:rPr>
                <w:rFonts w:ascii="Arial" w:hAnsi="Arial" w:cs="Arial"/>
                <w:sz w:val="18"/>
                <w:szCs w:val="18"/>
                <w:lang w:val="es-MX"/>
              </w:rPr>
            </w:pPr>
            <w:r w:rsidRPr="006A537F">
              <w:rPr>
                <w:rFonts w:ascii="Arial" w:hAnsi="Arial" w:cs="Arial"/>
                <w:b/>
                <w:bCs/>
                <w:sz w:val="18"/>
                <w:szCs w:val="18"/>
              </w:rPr>
              <w:t>Número de beneficiarios directos</w:t>
            </w:r>
          </w:p>
        </w:tc>
      </w:tr>
      <w:tr w:rsidR="006A537F" w:rsidRPr="006A537F" w14:paraId="028D2427" w14:textId="77777777" w:rsidTr="007265C7">
        <w:trPr>
          <w:trHeight w:val="795"/>
        </w:trPr>
        <w:tc>
          <w:tcPr>
            <w:tcW w:w="1605" w:type="dxa"/>
            <w:tcBorders>
              <w:top w:val="nil"/>
              <w:left w:val="single" w:sz="6" w:space="0" w:color="auto"/>
              <w:bottom w:val="single" w:sz="6" w:space="0" w:color="auto"/>
              <w:right w:val="single" w:sz="6" w:space="0" w:color="auto"/>
            </w:tcBorders>
            <w:vAlign w:val="center"/>
            <w:hideMark/>
          </w:tcPr>
          <w:p w14:paraId="3182DF0F" w14:textId="49BD58C5" w:rsidR="006A537F" w:rsidRPr="006A537F" w:rsidRDefault="006A537F" w:rsidP="007265C7">
            <w:pPr>
              <w:jc w:val="center"/>
              <w:rPr>
                <w:rFonts w:ascii="Arial" w:hAnsi="Arial" w:cs="Arial"/>
                <w:sz w:val="18"/>
                <w:szCs w:val="18"/>
                <w:lang w:val="es-MX"/>
              </w:rPr>
            </w:pPr>
            <w:r w:rsidRPr="006A537F">
              <w:rPr>
                <w:rFonts w:ascii="Arial" w:hAnsi="Arial" w:cs="Arial"/>
                <w:sz w:val="18"/>
                <w:szCs w:val="18"/>
              </w:rPr>
              <w:t>Construcción de Paz</w:t>
            </w:r>
          </w:p>
        </w:tc>
        <w:tc>
          <w:tcPr>
            <w:tcW w:w="1545" w:type="dxa"/>
            <w:tcBorders>
              <w:top w:val="nil"/>
              <w:left w:val="nil"/>
              <w:bottom w:val="single" w:sz="6" w:space="0" w:color="auto"/>
              <w:right w:val="single" w:sz="6" w:space="0" w:color="auto"/>
            </w:tcBorders>
            <w:vAlign w:val="center"/>
            <w:hideMark/>
          </w:tcPr>
          <w:p w14:paraId="04B40C42" w14:textId="6BE66102" w:rsidR="006A537F" w:rsidRPr="006A537F" w:rsidRDefault="007265C7" w:rsidP="007265C7">
            <w:pPr>
              <w:jc w:val="center"/>
              <w:rPr>
                <w:rFonts w:ascii="Arial" w:hAnsi="Arial" w:cs="Arial"/>
                <w:sz w:val="18"/>
                <w:szCs w:val="18"/>
                <w:lang w:val="es-MX"/>
              </w:rPr>
            </w:pPr>
            <w:r w:rsidRPr="00E8497E">
              <w:rPr>
                <w:rFonts w:ascii="Arial" w:hAnsi="Arial" w:cs="Arial"/>
                <w:sz w:val="18"/>
                <w:szCs w:val="18"/>
              </w:rPr>
              <w:t>$</w:t>
            </w:r>
            <w:r w:rsidR="006A537F" w:rsidRPr="006A537F">
              <w:rPr>
                <w:rFonts w:ascii="Arial" w:hAnsi="Arial" w:cs="Arial"/>
                <w:sz w:val="18"/>
                <w:szCs w:val="18"/>
              </w:rPr>
              <w:t>28.191.957.030</w:t>
            </w:r>
          </w:p>
        </w:tc>
        <w:tc>
          <w:tcPr>
            <w:tcW w:w="1635" w:type="dxa"/>
            <w:tcBorders>
              <w:top w:val="nil"/>
              <w:left w:val="nil"/>
              <w:bottom w:val="single" w:sz="6" w:space="0" w:color="auto"/>
              <w:right w:val="single" w:sz="6" w:space="0" w:color="auto"/>
            </w:tcBorders>
            <w:vAlign w:val="center"/>
            <w:hideMark/>
          </w:tcPr>
          <w:p w14:paraId="0A46F03C" w14:textId="22EABE35" w:rsidR="006A537F" w:rsidRPr="006A537F" w:rsidRDefault="006A537F" w:rsidP="007265C7">
            <w:pPr>
              <w:jc w:val="center"/>
              <w:rPr>
                <w:rFonts w:ascii="Arial" w:hAnsi="Arial" w:cs="Arial"/>
                <w:sz w:val="18"/>
                <w:szCs w:val="18"/>
                <w:lang w:val="es-MX"/>
              </w:rPr>
            </w:pPr>
            <w:r w:rsidRPr="006A537F">
              <w:rPr>
                <w:rFonts w:ascii="Arial" w:hAnsi="Arial" w:cs="Arial"/>
                <w:sz w:val="18"/>
                <w:szCs w:val="18"/>
              </w:rPr>
              <w:t>$27.435.123.135,50</w:t>
            </w:r>
          </w:p>
        </w:tc>
        <w:tc>
          <w:tcPr>
            <w:tcW w:w="2520" w:type="dxa"/>
            <w:tcBorders>
              <w:top w:val="nil"/>
              <w:left w:val="nil"/>
              <w:bottom w:val="single" w:sz="6" w:space="0" w:color="auto"/>
              <w:right w:val="single" w:sz="6" w:space="0" w:color="auto"/>
            </w:tcBorders>
            <w:vAlign w:val="center"/>
            <w:hideMark/>
          </w:tcPr>
          <w:p w14:paraId="5E7AE05F" w14:textId="13CF4C97" w:rsidR="006A537F" w:rsidRPr="006A537F" w:rsidRDefault="006A537F" w:rsidP="007265C7">
            <w:pPr>
              <w:jc w:val="center"/>
              <w:rPr>
                <w:rFonts w:ascii="Arial" w:hAnsi="Arial" w:cs="Arial"/>
                <w:sz w:val="18"/>
                <w:szCs w:val="18"/>
                <w:lang w:val="es-MX"/>
              </w:rPr>
            </w:pPr>
            <w:r w:rsidRPr="006A537F">
              <w:rPr>
                <w:rFonts w:ascii="Arial" w:hAnsi="Arial" w:cs="Arial"/>
                <w:sz w:val="18"/>
                <w:szCs w:val="18"/>
              </w:rPr>
              <w:t>Al cierre de la vigencia, se comprometieron recursos por $27.435.123.135,5</w:t>
            </w:r>
          </w:p>
        </w:tc>
        <w:tc>
          <w:tcPr>
            <w:tcW w:w="1470" w:type="dxa"/>
            <w:tcBorders>
              <w:top w:val="nil"/>
              <w:left w:val="nil"/>
              <w:bottom w:val="single" w:sz="6" w:space="0" w:color="auto"/>
              <w:right w:val="single" w:sz="6" w:space="0" w:color="auto"/>
            </w:tcBorders>
            <w:vAlign w:val="center"/>
            <w:hideMark/>
          </w:tcPr>
          <w:p w14:paraId="2AFE8DA8" w14:textId="01C928B5" w:rsidR="006A537F" w:rsidRPr="006A537F" w:rsidRDefault="006A537F" w:rsidP="007265C7">
            <w:pPr>
              <w:jc w:val="center"/>
              <w:rPr>
                <w:rFonts w:ascii="Arial" w:hAnsi="Arial" w:cs="Arial"/>
                <w:sz w:val="18"/>
                <w:szCs w:val="18"/>
                <w:lang w:val="es-MX"/>
              </w:rPr>
            </w:pPr>
            <w:r w:rsidRPr="006A537F">
              <w:rPr>
                <w:rFonts w:ascii="Arial" w:hAnsi="Arial" w:cs="Arial"/>
                <w:sz w:val="18"/>
                <w:szCs w:val="18"/>
              </w:rPr>
              <w:t>1.343</w:t>
            </w:r>
          </w:p>
        </w:tc>
      </w:tr>
      <w:tr w:rsidR="006A537F" w:rsidRPr="006A537F" w14:paraId="22E4EA20" w14:textId="77777777" w:rsidTr="007265C7">
        <w:trPr>
          <w:trHeight w:val="780"/>
        </w:trPr>
        <w:tc>
          <w:tcPr>
            <w:tcW w:w="1605" w:type="dxa"/>
            <w:tcBorders>
              <w:top w:val="nil"/>
              <w:left w:val="single" w:sz="6" w:space="0" w:color="auto"/>
              <w:bottom w:val="single" w:sz="6" w:space="0" w:color="auto"/>
              <w:right w:val="single" w:sz="6" w:space="0" w:color="auto"/>
            </w:tcBorders>
            <w:vAlign w:val="center"/>
            <w:hideMark/>
          </w:tcPr>
          <w:p w14:paraId="7BB08F88" w14:textId="000347C0" w:rsidR="006A537F" w:rsidRPr="006A537F" w:rsidRDefault="006A537F" w:rsidP="007265C7">
            <w:pPr>
              <w:jc w:val="center"/>
              <w:rPr>
                <w:rFonts w:ascii="Arial" w:hAnsi="Arial" w:cs="Arial"/>
                <w:sz w:val="18"/>
                <w:szCs w:val="18"/>
                <w:lang w:val="es-MX"/>
              </w:rPr>
            </w:pPr>
            <w:r w:rsidRPr="006A537F">
              <w:rPr>
                <w:rFonts w:ascii="Arial" w:hAnsi="Arial" w:cs="Arial"/>
                <w:sz w:val="18"/>
                <w:szCs w:val="18"/>
              </w:rPr>
              <w:t>Equidad de la mujer</w:t>
            </w:r>
          </w:p>
        </w:tc>
        <w:tc>
          <w:tcPr>
            <w:tcW w:w="1545" w:type="dxa"/>
            <w:tcBorders>
              <w:top w:val="nil"/>
              <w:left w:val="nil"/>
              <w:bottom w:val="single" w:sz="6" w:space="0" w:color="auto"/>
              <w:right w:val="single" w:sz="6" w:space="0" w:color="auto"/>
            </w:tcBorders>
            <w:vAlign w:val="center"/>
            <w:hideMark/>
          </w:tcPr>
          <w:p w14:paraId="3F7F4A6C" w14:textId="7AD22BC7" w:rsidR="006A537F" w:rsidRPr="006A537F" w:rsidRDefault="007265C7" w:rsidP="007265C7">
            <w:pPr>
              <w:jc w:val="center"/>
              <w:rPr>
                <w:rFonts w:ascii="Arial" w:hAnsi="Arial" w:cs="Arial"/>
                <w:sz w:val="18"/>
                <w:szCs w:val="18"/>
                <w:lang w:val="es-MX"/>
              </w:rPr>
            </w:pPr>
            <w:r w:rsidRPr="00E8497E">
              <w:rPr>
                <w:rFonts w:ascii="Arial" w:hAnsi="Arial" w:cs="Arial"/>
                <w:sz w:val="18"/>
                <w:szCs w:val="18"/>
              </w:rPr>
              <w:t>$</w:t>
            </w:r>
            <w:r w:rsidR="006A537F" w:rsidRPr="006A537F">
              <w:rPr>
                <w:rFonts w:ascii="Arial" w:hAnsi="Arial" w:cs="Arial"/>
                <w:sz w:val="18"/>
                <w:szCs w:val="18"/>
              </w:rPr>
              <w:t>12.593.230.980</w:t>
            </w:r>
          </w:p>
        </w:tc>
        <w:tc>
          <w:tcPr>
            <w:tcW w:w="1635" w:type="dxa"/>
            <w:tcBorders>
              <w:top w:val="nil"/>
              <w:left w:val="nil"/>
              <w:bottom w:val="single" w:sz="6" w:space="0" w:color="auto"/>
              <w:right w:val="single" w:sz="6" w:space="0" w:color="auto"/>
            </w:tcBorders>
            <w:vAlign w:val="center"/>
            <w:hideMark/>
          </w:tcPr>
          <w:p w14:paraId="1156DEF0" w14:textId="228FC93A" w:rsidR="006A537F" w:rsidRPr="006A537F" w:rsidRDefault="007265C7" w:rsidP="007265C7">
            <w:pPr>
              <w:jc w:val="center"/>
              <w:rPr>
                <w:rFonts w:ascii="Arial" w:hAnsi="Arial" w:cs="Arial"/>
                <w:sz w:val="18"/>
                <w:szCs w:val="18"/>
                <w:lang w:val="es-MX"/>
              </w:rPr>
            </w:pPr>
            <w:r w:rsidRPr="00E8497E">
              <w:rPr>
                <w:rFonts w:ascii="Arial" w:hAnsi="Arial" w:cs="Arial"/>
                <w:sz w:val="18"/>
                <w:szCs w:val="18"/>
              </w:rPr>
              <w:t>$</w:t>
            </w:r>
            <w:r w:rsidR="006A537F" w:rsidRPr="006A537F">
              <w:rPr>
                <w:rFonts w:ascii="Arial" w:hAnsi="Arial" w:cs="Arial"/>
                <w:sz w:val="18"/>
                <w:szCs w:val="18"/>
              </w:rPr>
              <w:t>12.593.230.980,00</w:t>
            </w:r>
          </w:p>
        </w:tc>
        <w:tc>
          <w:tcPr>
            <w:tcW w:w="2520" w:type="dxa"/>
            <w:tcBorders>
              <w:top w:val="nil"/>
              <w:left w:val="nil"/>
              <w:bottom w:val="single" w:sz="6" w:space="0" w:color="auto"/>
              <w:right w:val="single" w:sz="6" w:space="0" w:color="auto"/>
            </w:tcBorders>
            <w:vAlign w:val="center"/>
            <w:hideMark/>
          </w:tcPr>
          <w:p w14:paraId="4CB35E86" w14:textId="12BA083D" w:rsidR="006A537F" w:rsidRPr="006A537F" w:rsidRDefault="006A537F" w:rsidP="007265C7">
            <w:pPr>
              <w:jc w:val="center"/>
              <w:rPr>
                <w:rFonts w:ascii="Arial" w:hAnsi="Arial" w:cs="Arial"/>
                <w:sz w:val="18"/>
                <w:szCs w:val="18"/>
                <w:lang w:val="es-MX"/>
              </w:rPr>
            </w:pPr>
            <w:r w:rsidRPr="006A537F">
              <w:rPr>
                <w:rFonts w:ascii="Arial" w:hAnsi="Arial" w:cs="Arial"/>
                <w:sz w:val="18"/>
                <w:szCs w:val="18"/>
              </w:rPr>
              <w:t>Al cierre de la vigencia, se comprometieron recursos por $12.593.230.980,00</w:t>
            </w:r>
          </w:p>
        </w:tc>
        <w:tc>
          <w:tcPr>
            <w:tcW w:w="1470" w:type="dxa"/>
            <w:tcBorders>
              <w:top w:val="nil"/>
              <w:left w:val="nil"/>
              <w:bottom w:val="single" w:sz="6" w:space="0" w:color="auto"/>
              <w:right w:val="single" w:sz="6" w:space="0" w:color="auto"/>
            </w:tcBorders>
            <w:vAlign w:val="center"/>
            <w:hideMark/>
          </w:tcPr>
          <w:p w14:paraId="183E2382" w14:textId="206F399B" w:rsidR="006A537F" w:rsidRPr="006A537F" w:rsidRDefault="006A537F" w:rsidP="007265C7">
            <w:pPr>
              <w:jc w:val="center"/>
              <w:rPr>
                <w:rFonts w:ascii="Arial" w:hAnsi="Arial" w:cs="Arial"/>
                <w:sz w:val="18"/>
                <w:szCs w:val="18"/>
                <w:lang w:val="es-MX"/>
              </w:rPr>
            </w:pPr>
            <w:r w:rsidRPr="006A537F">
              <w:rPr>
                <w:rFonts w:ascii="Arial" w:hAnsi="Arial" w:cs="Arial"/>
                <w:sz w:val="18"/>
                <w:szCs w:val="18"/>
              </w:rPr>
              <w:t>706</w:t>
            </w:r>
          </w:p>
        </w:tc>
      </w:tr>
      <w:tr w:rsidR="006A537F" w:rsidRPr="006A537F" w14:paraId="331BFFF0" w14:textId="77777777" w:rsidTr="007265C7">
        <w:trPr>
          <w:trHeight w:val="990"/>
        </w:trPr>
        <w:tc>
          <w:tcPr>
            <w:tcW w:w="1605" w:type="dxa"/>
            <w:tcBorders>
              <w:top w:val="nil"/>
              <w:left w:val="single" w:sz="6" w:space="0" w:color="auto"/>
              <w:bottom w:val="single" w:sz="6" w:space="0" w:color="auto"/>
              <w:right w:val="single" w:sz="6" w:space="0" w:color="auto"/>
            </w:tcBorders>
            <w:vAlign w:val="center"/>
            <w:hideMark/>
          </w:tcPr>
          <w:p w14:paraId="42F6946F" w14:textId="18E43D7C" w:rsidR="006A537F" w:rsidRPr="006A537F" w:rsidRDefault="006A537F" w:rsidP="007265C7">
            <w:pPr>
              <w:jc w:val="center"/>
              <w:rPr>
                <w:rFonts w:ascii="Arial" w:hAnsi="Arial" w:cs="Arial"/>
                <w:sz w:val="18"/>
                <w:szCs w:val="18"/>
                <w:lang w:val="es-MX"/>
              </w:rPr>
            </w:pPr>
            <w:r w:rsidRPr="006A537F">
              <w:rPr>
                <w:rFonts w:ascii="Arial" w:hAnsi="Arial" w:cs="Arial"/>
                <w:sz w:val="18"/>
                <w:szCs w:val="18"/>
              </w:rPr>
              <w:t>Víctimas</w:t>
            </w:r>
          </w:p>
        </w:tc>
        <w:tc>
          <w:tcPr>
            <w:tcW w:w="1545" w:type="dxa"/>
            <w:tcBorders>
              <w:top w:val="nil"/>
              <w:left w:val="nil"/>
              <w:bottom w:val="single" w:sz="6" w:space="0" w:color="auto"/>
              <w:right w:val="single" w:sz="6" w:space="0" w:color="auto"/>
            </w:tcBorders>
            <w:vAlign w:val="center"/>
            <w:hideMark/>
          </w:tcPr>
          <w:p w14:paraId="08A932C1" w14:textId="64250232" w:rsidR="006A537F" w:rsidRPr="006A537F" w:rsidRDefault="007265C7" w:rsidP="007265C7">
            <w:pPr>
              <w:jc w:val="center"/>
              <w:rPr>
                <w:rFonts w:ascii="Arial" w:hAnsi="Arial" w:cs="Arial"/>
                <w:sz w:val="18"/>
                <w:szCs w:val="18"/>
                <w:lang w:val="es-MX"/>
              </w:rPr>
            </w:pPr>
            <w:r w:rsidRPr="00E8497E">
              <w:rPr>
                <w:rFonts w:ascii="Arial" w:hAnsi="Arial" w:cs="Arial"/>
                <w:sz w:val="18"/>
                <w:szCs w:val="18"/>
              </w:rPr>
              <w:t>$</w:t>
            </w:r>
            <w:r w:rsidR="006A537F" w:rsidRPr="006A537F">
              <w:rPr>
                <w:rFonts w:ascii="Arial" w:hAnsi="Arial" w:cs="Arial"/>
                <w:sz w:val="18"/>
                <w:szCs w:val="18"/>
              </w:rPr>
              <w:t>28.191.957.030</w:t>
            </w:r>
          </w:p>
        </w:tc>
        <w:tc>
          <w:tcPr>
            <w:tcW w:w="1635" w:type="dxa"/>
            <w:tcBorders>
              <w:top w:val="nil"/>
              <w:left w:val="nil"/>
              <w:bottom w:val="single" w:sz="6" w:space="0" w:color="auto"/>
              <w:right w:val="single" w:sz="6" w:space="0" w:color="auto"/>
            </w:tcBorders>
            <w:vAlign w:val="center"/>
            <w:hideMark/>
          </w:tcPr>
          <w:p w14:paraId="5E0CD414" w14:textId="012784F9" w:rsidR="006A537F" w:rsidRPr="006A537F" w:rsidRDefault="007265C7" w:rsidP="007265C7">
            <w:pPr>
              <w:jc w:val="center"/>
              <w:rPr>
                <w:rFonts w:ascii="Arial" w:hAnsi="Arial" w:cs="Arial"/>
                <w:sz w:val="18"/>
                <w:szCs w:val="18"/>
                <w:lang w:val="es-MX"/>
              </w:rPr>
            </w:pPr>
            <w:r w:rsidRPr="00E8497E">
              <w:rPr>
                <w:rFonts w:ascii="Arial" w:hAnsi="Arial" w:cs="Arial"/>
                <w:sz w:val="18"/>
                <w:szCs w:val="18"/>
              </w:rPr>
              <w:t>$</w:t>
            </w:r>
            <w:r w:rsidR="006A537F" w:rsidRPr="006A537F">
              <w:rPr>
                <w:rFonts w:ascii="Arial" w:hAnsi="Arial" w:cs="Arial"/>
                <w:sz w:val="18"/>
                <w:szCs w:val="18"/>
              </w:rPr>
              <w:t>18.217.973.825,00</w:t>
            </w:r>
          </w:p>
        </w:tc>
        <w:tc>
          <w:tcPr>
            <w:tcW w:w="2520" w:type="dxa"/>
            <w:tcBorders>
              <w:top w:val="nil"/>
              <w:left w:val="nil"/>
              <w:bottom w:val="single" w:sz="6" w:space="0" w:color="auto"/>
              <w:right w:val="single" w:sz="6" w:space="0" w:color="auto"/>
            </w:tcBorders>
            <w:vAlign w:val="center"/>
            <w:hideMark/>
          </w:tcPr>
          <w:p w14:paraId="2D30E56C" w14:textId="05DAC3AB" w:rsidR="006A537F" w:rsidRPr="006A537F" w:rsidRDefault="006A537F" w:rsidP="007265C7">
            <w:pPr>
              <w:jc w:val="center"/>
              <w:rPr>
                <w:rFonts w:ascii="Arial" w:hAnsi="Arial" w:cs="Arial"/>
                <w:sz w:val="18"/>
                <w:szCs w:val="18"/>
                <w:lang w:val="es-MX"/>
              </w:rPr>
            </w:pPr>
            <w:r w:rsidRPr="006A537F">
              <w:rPr>
                <w:rFonts w:ascii="Arial" w:hAnsi="Arial" w:cs="Arial"/>
                <w:sz w:val="18"/>
                <w:szCs w:val="18"/>
              </w:rPr>
              <w:t>Al cierre de la vigencia, se comprometieron recursos por $18.217.973.825,00</w:t>
            </w:r>
          </w:p>
        </w:tc>
        <w:tc>
          <w:tcPr>
            <w:tcW w:w="1470" w:type="dxa"/>
            <w:tcBorders>
              <w:top w:val="nil"/>
              <w:left w:val="nil"/>
              <w:bottom w:val="single" w:sz="6" w:space="0" w:color="auto"/>
              <w:right w:val="single" w:sz="6" w:space="0" w:color="auto"/>
            </w:tcBorders>
            <w:vAlign w:val="center"/>
            <w:hideMark/>
          </w:tcPr>
          <w:p w14:paraId="47DE3820" w14:textId="6A2A6F88" w:rsidR="006A537F" w:rsidRPr="006A537F" w:rsidRDefault="006A537F" w:rsidP="007265C7">
            <w:pPr>
              <w:jc w:val="center"/>
              <w:rPr>
                <w:rFonts w:ascii="Arial" w:hAnsi="Arial" w:cs="Arial"/>
                <w:sz w:val="18"/>
                <w:szCs w:val="18"/>
                <w:lang w:val="es-MX"/>
              </w:rPr>
            </w:pPr>
            <w:r w:rsidRPr="006A537F">
              <w:rPr>
                <w:rFonts w:ascii="Arial" w:hAnsi="Arial" w:cs="Arial"/>
                <w:sz w:val="18"/>
                <w:szCs w:val="18"/>
              </w:rPr>
              <w:t>921</w:t>
            </w:r>
          </w:p>
        </w:tc>
      </w:tr>
    </w:tbl>
    <w:p w14:paraId="54366BA2" w14:textId="77777777" w:rsidR="006A537F" w:rsidRPr="006A537F" w:rsidRDefault="006A537F" w:rsidP="006A537F">
      <w:pPr>
        <w:jc w:val="both"/>
        <w:rPr>
          <w:rFonts w:ascii="Arial" w:hAnsi="Arial" w:cs="Arial"/>
          <w:sz w:val="22"/>
          <w:szCs w:val="22"/>
          <w:lang w:val="es-MX"/>
        </w:rPr>
      </w:pPr>
      <w:r w:rsidRPr="006A537F">
        <w:rPr>
          <w:rFonts w:ascii="Arial" w:hAnsi="Arial" w:cs="Arial"/>
          <w:sz w:val="22"/>
          <w:szCs w:val="22"/>
          <w:lang w:val="es-MX"/>
        </w:rPr>
        <w:t> </w:t>
      </w:r>
    </w:p>
    <w:p w14:paraId="68C027C4" w14:textId="77777777" w:rsidR="003F7FE9" w:rsidRPr="00A12DBC" w:rsidRDefault="003F7FE9" w:rsidP="003F7FE9">
      <w:pPr>
        <w:jc w:val="both"/>
        <w:rPr>
          <w:rFonts w:ascii="Arial" w:hAnsi="Arial" w:cs="Arial"/>
          <w:sz w:val="22"/>
          <w:szCs w:val="22"/>
        </w:rPr>
      </w:pPr>
    </w:p>
    <w:p w14:paraId="3B4EF2F1" w14:textId="77777777" w:rsidR="00EA6213" w:rsidRPr="00CB24C7" w:rsidRDefault="00EA6213" w:rsidP="00CB24C7">
      <w:pPr>
        <w:rPr>
          <w:rFonts w:ascii="Arial" w:hAnsi="Arial" w:cs="Arial"/>
          <w:sz w:val="22"/>
          <w:szCs w:val="22"/>
          <w:lang w:val="es-ES_tradnl"/>
        </w:rPr>
      </w:pPr>
    </w:p>
    <w:p w14:paraId="370B4B66" w14:textId="675180E8" w:rsidR="007340FE" w:rsidRPr="00B32D95" w:rsidRDefault="009C25AF" w:rsidP="005F760B">
      <w:pPr>
        <w:pStyle w:val="Ttulo1"/>
        <w:numPr>
          <w:ilvl w:val="0"/>
          <w:numId w:val="7"/>
        </w:numPr>
        <w:spacing w:before="0"/>
        <w:jc w:val="both"/>
        <w:rPr>
          <w:rFonts w:ascii="Arial" w:hAnsi="Arial" w:cs="Arial"/>
          <w:b/>
          <w:bCs/>
          <w:color w:val="385623" w:themeColor="accent6" w:themeShade="80"/>
          <w:sz w:val="22"/>
          <w:szCs w:val="22"/>
          <w:lang w:val="es-ES_tradnl"/>
        </w:rPr>
      </w:pPr>
      <w:bookmarkStart w:id="14" w:name="_Toc225874780"/>
      <w:r w:rsidRPr="00B32D95">
        <w:rPr>
          <w:rFonts w:ascii="Arial" w:hAnsi="Arial" w:cs="Arial"/>
          <w:b/>
          <w:bCs/>
          <w:color w:val="385623" w:themeColor="accent6" w:themeShade="80"/>
          <w:sz w:val="22"/>
          <w:szCs w:val="22"/>
          <w:lang w:val="es-ES_tradnl"/>
        </w:rPr>
        <w:t xml:space="preserve">SEGUIMIENTO A </w:t>
      </w:r>
      <w:r w:rsidR="007340FE" w:rsidRPr="00B32D95">
        <w:rPr>
          <w:rFonts w:ascii="Arial" w:hAnsi="Arial" w:cs="Arial"/>
          <w:b/>
          <w:bCs/>
          <w:color w:val="385623" w:themeColor="accent6" w:themeShade="80"/>
          <w:sz w:val="22"/>
          <w:szCs w:val="22"/>
          <w:lang w:val="es-ES_tradnl"/>
        </w:rPr>
        <w:t xml:space="preserve">VIGENCIA 2000 </w:t>
      </w:r>
      <w:r w:rsidR="00B40FE8" w:rsidRPr="00B32D95">
        <w:rPr>
          <w:rFonts w:ascii="Arial" w:hAnsi="Arial" w:cs="Arial"/>
          <w:b/>
          <w:bCs/>
          <w:color w:val="385623" w:themeColor="accent6" w:themeShade="80"/>
          <w:sz w:val="22"/>
          <w:szCs w:val="22"/>
          <w:lang w:val="es-ES_tradnl"/>
        </w:rPr>
        <w:t>–</w:t>
      </w:r>
      <w:r w:rsidR="007340FE" w:rsidRPr="00B32D95">
        <w:rPr>
          <w:rFonts w:ascii="Arial" w:hAnsi="Arial" w:cs="Arial"/>
          <w:b/>
          <w:bCs/>
          <w:color w:val="385623" w:themeColor="accent6" w:themeShade="80"/>
          <w:sz w:val="22"/>
          <w:szCs w:val="22"/>
          <w:lang w:val="es-ES_tradnl"/>
        </w:rPr>
        <w:t xml:space="preserve"> 2017</w:t>
      </w:r>
      <w:r w:rsidR="00B40FE8" w:rsidRPr="00B32D95">
        <w:rPr>
          <w:rFonts w:ascii="Arial" w:hAnsi="Arial" w:cs="Arial"/>
          <w:b/>
          <w:bCs/>
          <w:color w:val="385623" w:themeColor="accent6" w:themeShade="80"/>
          <w:sz w:val="22"/>
          <w:szCs w:val="22"/>
          <w:lang w:val="es-ES_tradnl"/>
        </w:rPr>
        <w:t xml:space="preserve"> (</w:t>
      </w:r>
      <w:r w:rsidR="001E4A66" w:rsidRPr="00B32D95">
        <w:rPr>
          <w:rFonts w:ascii="Arial" w:hAnsi="Arial" w:cs="Arial"/>
          <w:b/>
          <w:bCs/>
          <w:color w:val="385623" w:themeColor="accent6" w:themeShade="80"/>
          <w:sz w:val="22"/>
          <w:szCs w:val="22"/>
          <w:lang w:val="es-ES_tradnl"/>
        </w:rPr>
        <w:t xml:space="preserve">Periodo de otorgamiento </w:t>
      </w:r>
      <w:r w:rsidR="00B40FE8" w:rsidRPr="00B32D95">
        <w:rPr>
          <w:rFonts w:ascii="Arial" w:hAnsi="Arial" w:cs="Arial"/>
          <w:b/>
          <w:bCs/>
          <w:color w:val="385623" w:themeColor="accent6" w:themeShade="80"/>
          <w:sz w:val="22"/>
          <w:szCs w:val="22"/>
          <w:lang w:val="es-ES_tradnl"/>
        </w:rPr>
        <w:t>Banco Agrario de Colombia – BAC)</w:t>
      </w:r>
      <w:bookmarkEnd w:id="14"/>
    </w:p>
    <w:p w14:paraId="4B0CB49B" w14:textId="77777777" w:rsidR="00E80C5D" w:rsidRDefault="00E80C5D" w:rsidP="00E80C5D">
      <w:pPr>
        <w:rPr>
          <w:lang w:val="es-ES_tradnl"/>
        </w:rPr>
      </w:pPr>
    </w:p>
    <w:p w14:paraId="33E62D7E" w14:textId="5D3E76DA" w:rsidR="00100FF2" w:rsidRPr="0017217B" w:rsidRDefault="0017217B" w:rsidP="00E80C5D">
      <w:pPr>
        <w:rPr>
          <w:color w:val="EE0000"/>
          <w:lang w:val="es-ES_tradnl"/>
        </w:rPr>
      </w:pPr>
      <w:r w:rsidRPr="0017217B">
        <w:rPr>
          <w:color w:val="EE0000"/>
          <w:lang w:val="es-ES_tradnl"/>
        </w:rPr>
        <w:t>HARRISON</w:t>
      </w:r>
    </w:p>
    <w:p w14:paraId="7DA9F819" w14:textId="3E95455B" w:rsidR="000C3169" w:rsidRPr="00B91FB0" w:rsidRDefault="00AD3771" w:rsidP="005F760B">
      <w:pPr>
        <w:pStyle w:val="Ttulo1"/>
        <w:numPr>
          <w:ilvl w:val="1"/>
          <w:numId w:val="7"/>
        </w:numPr>
        <w:spacing w:before="0"/>
        <w:jc w:val="both"/>
        <w:rPr>
          <w:rFonts w:ascii="Arial" w:hAnsi="Arial" w:cs="Arial"/>
          <w:b/>
          <w:bCs/>
          <w:color w:val="385623" w:themeColor="accent6" w:themeShade="80"/>
          <w:sz w:val="22"/>
          <w:szCs w:val="22"/>
          <w:lang w:val="es-ES_tradnl"/>
        </w:rPr>
      </w:pPr>
      <w:bookmarkStart w:id="15" w:name="_Toc225874781"/>
      <w:r w:rsidRPr="00B91FB0">
        <w:rPr>
          <w:rFonts w:ascii="Arial" w:hAnsi="Arial" w:cs="Arial"/>
          <w:b/>
          <w:bCs/>
          <w:color w:val="385623" w:themeColor="accent6" w:themeShade="80"/>
          <w:sz w:val="22"/>
          <w:szCs w:val="22"/>
          <w:lang w:val="es-ES_tradnl"/>
        </w:rPr>
        <w:t>Gestión Presupuestal Vigencias 2000-2017</w:t>
      </w:r>
      <w:bookmarkEnd w:id="15"/>
    </w:p>
    <w:p w14:paraId="6D828497" w14:textId="7D7683D3" w:rsidR="00BD0825" w:rsidRPr="00B91FB0" w:rsidRDefault="00BD0825" w:rsidP="00BD0825">
      <w:pPr>
        <w:jc w:val="both"/>
        <w:rPr>
          <w:rFonts w:ascii="Arial" w:hAnsi="Arial" w:cs="Arial"/>
          <w:b/>
          <w:bCs/>
          <w:color w:val="0070C0"/>
          <w:sz w:val="22"/>
          <w:szCs w:val="22"/>
          <w:lang w:val="es-ES_tradnl"/>
        </w:rPr>
      </w:pPr>
    </w:p>
    <w:p w14:paraId="58FAAEF4" w14:textId="56C692F0" w:rsidR="00F71EAC" w:rsidRPr="00BC15E8" w:rsidRDefault="00F71EAC" w:rsidP="00BD0825">
      <w:pPr>
        <w:jc w:val="both"/>
        <w:rPr>
          <w:rFonts w:ascii="Arial" w:hAnsi="Arial" w:cs="Arial"/>
          <w:sz w:val="22"/>
          <w:szCs w:val="22"/>
          <w:lang w:val="es-ES_tradnl"/>
        </w:rPr>
      </w:pPr>
      <w:r w:rsidRPr="00B91FB0">
        <w:rPr>
          <w:rFonts w:ascii="Arial" w:hAnsi="Arial" w:cs="Arial"/>
          <w:sz w:val="22"/>
          <w:szCs w:val="22"/>
          <w:lang w:val="es-ES_tradnl"/>
        </w:rPr>
        <w:t>A continuación</w:t>
      </w:r>
      <w:r w:rsidR="00334493" w:rsidRPr="00B91FB0">
        <w:rPr>
          <w:rFonts w:ascii="Arial" w:hAnsi="Arial" w:cs="Arial"/>
          <w:sz w:val="22"/>
          <w:szCs w:val="22"/>
          <w:lang w:val="es-ES_tradnl"/>
        </w:rPr>
        <w:t>,</w:t>
      </w:r>
      <w:r w:rsidRPr="00B91FB0">
        <w:rPr>
          <w:rFonts w:ascii="Arial" w:hAnsi="Arial" w:cs="Arial"/>
          <w:sz w:val="22"/>
          <w:szCs w:val="22"/>
          <w:lang w:val="es-ES_tradnl"/>
        </w:rPr>
        <w:t xml:space="preserve"> se presenta la gestión presupuestal del Banco Agrario de Colombia</w:t>
      </w:r>
      <w:r w:rsidR="00544545" w:rsidRPr="00B91FB0">
        <w:rPr>
          <w:rFonts w:ascii="Arial" w:hAnsi="Arial" w:cs="Arial"/>
          <w:sz w:val="22"/>
          <w:szCs w:val="22"/>
          <w:lang w:val="es-ES_tradnl"/>
        </w:rPr>
        <w:t xml:space="preserve"> para la </w:t>
      </w:r>
      <w:r w:rsidR="007243E1" w:rsidRPr="00B91FB0">
        <w:rPr>
          <w:rFonts w:ascii="Arial" w:hAnsi="Arial" w:cs="Arial"/>
          <w:sz w:val="22"/>
          <w:szCs w:val="22"/>
          <w:lang w:val="es-ES_tradnl"/>
        </w:rPr>
        <w:t>vigencia 2000</w:t>
      </w:r>
      <w:r w:rsidR="007243E1">
        <w:rPr>
          <w:rFonts w:ascii="Arial" w:hAnsi="Arial" w:cs="Arial"/>
          <w:sz w:val="22"/>
          <w:szCs w:val="22"/>
          <w:lang w:val="es-ES_tradnl"/>
        </w:rPr>
        <w:t xml:space="preserve"> a </w:t>
      </w:r>
      <w:r w:rsidR="007243E1" w:rsidRPr="00495192">
        <w:rPr>
          <w:rFonts w:ascii="Arial" w:hAnsi="Arial" w:cs="Arial"/>
          <w:sz w:val="22"/>
          <w:szCs w:val="22"/>
          <w:lang w:val="es-ES_tradnl"/>
        </w:rPr>
        <w:t xml:space="preserve">2017 indicando que los subsidios de vivienda de interés social rural pendientes por terminar ascienden a </w:t>
      </w:r>
      <w:r w:rsidR="00A30B73" w:rsidRPr="00495192">
        <w:rPr>
          <w:rFonts w:ascii="Arial" w:hAnsi="Arial" w:cs="Arial"/>
          <w:sz w:val="22"/>
          <w:szCs w:val="22"/>
          <w:lang w:val="es-ES_tradnl"/>
        </w:rPr>
        <w:t>35.690</w:t>
      </w:r>
      <w:r w:rsidR="007243E1" w:rsidRPr="00495192">
        <w:rPr>
          <w:rFonts w:ascii="Arial" w:hAnsi="Arial" w:cs="Arial"/>
          <w:sz w:val="22"/>
          <w:szCs w:val="22"/>
          <w:lang w:val="es-ES_tradnl"/>
        </w:rPr>
        <w:t xml:space="preserve"> con corte </w:t>
      </w:r>
      <w:r w:rsidR="00A30B73" w:rsidRPr="00495192">
        <w:rPr>
          <w:rFonts w:ascii="Arial" w:hAnsi="Arial" w:cs="Arial"/>
          <w:sz w:val="22"/>
          <w:szCs w:val="22"/>
          <w:lang w:val="es-ES_tradnl"/>
        </w:rPr>
        <w:t xml:space="preserve">al 30 de noviembre de 2025. </w:t>
      </w:r>
    </w:p>
    <w:p w14:paraId="57814F56" w14:textId="77777777" w:rsidR="00355820" w:rsidRDefault="00355820" w:rsidP="00BD0825">
      <w:pPr>
        <w:jc w:val="both"/>
        <w:rPr>
          <w:rFonts w:ascii="Arial" w:hAnsi="Arial" w:cs="Arial"/>
          <w:sz w:val="22"/>
          <w:szCs w:val="22"/>
          <w:lang w:val="es-ES_tradnl"/>
        </w:rPr>
      </w:pPr>
    </w:p>
    <w:p w14:paraId="1E9511D8" w14:textId="4A4B7D3E" w:rsidR="00CF78E9" w:rsidRDefault="007243E1" w:rsidP="00510FE0">
      <w:pPr>
        <w:pStyle w:val="Descripcin"/>
        <w:spacing w:after="0"/>
        <w:jc w:val="center"/>
        <w:rPr>
          <w:rFonts w:ascii="Arial" w:hAnsi="Arial" w:cs="Arial"/>
          <w:i w:val="0"/>
          <w:iCs w:val="0"/>
          <w:color w:val="auto"/>
          <w:sz w:val="22"/>
          <w:szCs w:val="22"/>
          <w:lang w:val="es-ES_tradnl"/>
        </w:rPr>
      </w:pPr>
      <w:r w:rsidRPr="00CB24C7">
        <w:rPr>
          <w:rFonts w:ascii="Arial" w:hAnsi="Arial" w:cs="Arial"/>
          <w:i w:val="0"/>
          <w:iCs w:val="0"/>
          <w:color w:val="auto"/>
          <w:sz w:val="22"/>
          <w:szCs w:val="22"/>
        </w:rPr>
        <w:t xml:space="preserve">Tabla </w:t>
      </w:r>
      <w:r w:rsidR="00482DFA">
        <w:rPr>
          <w:rFonts w:ascii="Arial" w:hAnsi="Arial" w:cs="Arial"/>
          <w:i w:val="0"/>
          <w:iCs w:val="0"/>
          <w:color w:val="auto"/>
          <w:sz w:val="22"/>
          <w:szCs w:val="22"/>
        </w:rPr>
        <w:t>8</w:t>
      </w:r>
      <w:r w:rsidRPr="00CB24C7">
        <w:rPr>
          <w:rFonts w:ascii="Arial" w:hAnsi="Arial" w:cs="Arial"/>
          <w:i w:val="0"/>
          <w:iCs w:val="0"/>
          <w:color w:val="auto"/>
          <w:sz w:val="22"/>
          <w:szCs w:val="22"/>
        </w:rPr>
        <w:t xml:space="preserve"> </w:t>
      </w:r>
      <w:r w:rsidRPr="00CB24C7">
        <w:rPr>
          <w:rFonts w:ascii="Arial" w:hAnsi="Arial" w:cs="Arial"/>
          <w:i w:val="0"/>
          <w:iCs w:val="0"/>
          <w:color w:val="auto"/>
          <w:sz w:val="22"/>
          <w:szCs w:val="22"/>
          <w:lang w:val="es-ES_tradnl"/>
        </w:rPr>
        <w:t xml:space="preserve">Ejecución Presupuestal </w:t>
      </w:r>
      <w:r>
        <w:rPr>
          <w:rFonts w:ascii="Arial" w:hAnsi="Arial" w:cs="Arial"/>
          <w:i w:val="0"/>
          <w:iCs w:val="0"/>
          <w:color w:val="auto"/>
          <w:sz w:val="22"/>
          <w:szCs w:val="22"/>
          <w:lang w:val="es-ES_tradnl"/>
        </w:rPr>
        <w:t xml:space="preserve">del Banco </w:t>
      </w:r>
    </w:p>
    <w:p w14:paraId="429B1097" w14:textId="77777777" w:rsidR="00E71364" w:rsidRDefault="00E71364" w:rsidP="00E71364">
      <w:pPr>
        <w:rPr>
          <w:lang w:val="es-ES_tradnl"/>
        </w:rPr>
      </w:pPr>
    </w:p>
    <w:tbl>
      <w:tblPr>
        <w:tblW w:w="8620" w:type="dxa"/>
        <w:tblCellMar>
          <w:left w:w="70" w:type="dxa"/>
          <w:right w:w="70" w:type="dxa"/>
        </w:tblCellMar>
        <w:tblLook w:val="04A0" w:firstRow="1" w:lastRow="0" w:firstColumn="1" w:lastColumn="0" w:noHBand="0" w:noVBand="1"/>
      </w:tblPr>
      <w:tblGrid>
        <w:gridCol w:w="1420"/>
        <w:gridCol w:w="1320"/>
        <w:gridCol w:w="2341"/>
        <w:gridCol w:w="1240"/>
        <w:gridCol w:w="1240"/>
        <w:gridCol w:w="1240"/>
      </w:tblGrid>
      <w:tr w:rsidR="005527F8" w14:paraId="34D70F66" w14:textId="77777777" w:rsidTr="005527F8">
        <w:trPr>
          <w:trHeight w:val="288"/>
        </w:trPr>
        <w:tc>
          <w:tcPr>
            <w:tcW w:w="1420" w:type="dxa"/>
            <w:vMerge w:val="restart"/>
            <w:tcBorders>
              <w:top w:val="single" w:sz="4" w:space="0" w:color="auto"/>
              <w:left w:val="single" w:sz="4" w:space="0" w:color="auto"/>
              <w:bottom w:val="nil"/>
              <w:right w:val="nil"/>
            </w:tcBorders>
            <w:shd w:val="clear" w:color="000000" w:fill="C4D79B"/>
            <w:noWrap/>
            <w:vAlign w:val="center"/>
            <w:hideMark/>
          </w:tcPr>
          <w:p w14:paraId="6A9E1781" w14:textId="77777777" w:rsidR="005527F8" w:rsidRDefault="005527F8">
            <w:pPr>
              <w:jc w:val="center"/>
              <w:rPr>
                <w:rFonts w:ascii="Calibri" w:hAnsi="Calibri" w:cs="Calibri"/>
                <w:b/>
                <w:bCs/>
                <w:color w:val="000000"/>
                <w:sz w:val="22"/>
                <w:szCs w:val="22"/>
                <w:lang w:eastAsia="es-MX"/>
              </w:rPr>
            </w:pPr>
            <w:r>
              <w:rPr>
                <w:rFonts w:ascii="Calibri" w:hAnsi="Calibri" w:cs="Calibri"/>
                <w:b/>
                <w:bCs/>
                <w:color w:val="000000"/>
                <w:sz w:val="22"/>
                <w:szCs w:val="22"/>
              </w:rPr>
              <w:t>Vigencia</w:t>
            </w:r>
          </w:p>
        </w:tc>
        <w:tc>
          <w:tcPr>
            <w:tcW w:w="1240" w:type="dxa"/>
            <w:vMerge w:val="restart"/>
            <w:tcBorders>
              <w:top w:val="single" w:sz="4" w:space="0" w:color="auto"/>
              <w:left w:val="nil"/>
              <w:bottom w:val="nil"/>
              <w:right w:val="nil"/>
            </w:tcBorders>
            <w:shd w:val="clear" w:color="000000" w:fill="C4D79B"/>
            <w:noWrap/>
            <w:vAlign w:val="center"/>
            <w:hideMark/>
          </w:tcPr>
          <w:p w14:paraId="4DF896BD" w14:textId="77777777" w:rsidR="005527F8" w:rsidRDefault="005527F8">
            <w:pPr>
              <w:jc w:val="center"/>
              <w:rPr>
                <w:rFonts w:ascii="Calibri" w:hAnsi="Calibri" w:cs="Calibri"/>
                <w:b/>
                <w:bCs/>
                <w:color w:val="000000"/>
                <w:sz w:val="22"/>
                <w:szCs w:val="22"/>
              </w:rPr>
            </w:pPr>
            <w:r>
              <w:rPr>
                <w:rFonts w:ascii="Calibri" w:hAnsi="Calibri" w:cs="Calibri"/>
                <w:b/>
                <w:bCs/>
                <w:color w:val="000000"/>
                <w:sz w:val="22"/>
                <w:szCs w:val="22"/>
              </w:rPr>
              <w:t>Beneficiarios</w:t>
            </w:r>
          </w:p>
        </w:tc>
        <w:tc>
          <w:tcPr>
            <w:tcW w:w="2240" w:type="dxa"/>
            <w:vMerge w:val="restart"/>
            <w:tcBorders>
              <w:top w:val="single" w:sz="4" w:space="0" w:color="auto"/>
              <w:left w:val="nil"/>
              <w:bottom w:val="nil"/>
              <w:right w:val="nil"/>
            </w:tcBorders>
            <w:shd w:val="clear" w:color="000000" w:fill="C4D79B"/>
            <w:noWrap/>
            <w:vAlign w:val="center"/>
            <w:hideMark/>
          </w:tcPr>
          <w:p w14:paraId="54BBB98F" w14:textId="77777777" w:rsidR="005527F8" w:rsidRDefault="005527F8">
            <w:pPr>
              <w:jc w:val="center"/>
              <w:rPr>
                <w:rFonts w:ascii="Calibri" w:hAnsi="Calibri" w:cs="Calibri"/>
                <w:b/>
                <w:bCs/>
                <w:color w:val="000000"/>
                <w:sz w:val="22"/>
                <w:szCs w:val="22"/>
              </w:rPr>
            </w:pPr>
            <w:r>
              <w:rPr>
                <w:rFonts w:ascii="Calibri" w:hAnsi="Calibri" w:cs="Calibri"/>
                <w:b/>
                <w:bCs/>
                <w:color w:val="000000"/>
                <w:sz w:val="22"/>
                <w:szCs w:val="22"/>
              </w:rPr>
              <w:t>Valor Proyecto</w:t>
            </w:r>
          </w:p>
        </w:tc>
        <w:tc>
          <w:tcPr>
            <w:tcW w:w="3720" w:type="dxa"/>
            <w:gridSpan w:val="3"/>
            <w:tcBorders>
              <w:top w:val="single" w:sz="4" w:space="0" w:color="auto"/>
              <w:left w:val="nil"/>
              <w:bottom w:val="single" w:sz="4" w:space="0" w:color="auto"/>
              <w:right w:val="single" w:sz="4" w:space="0" w:color="000000"/>
            </w:tcBorders>
            <w:shd w:val="clear" w:color="000000" w:fill="C4D79B"/>
            <w:noWrap/>
            <w:vAlign w:val="bottom"/>
            <w:hideMark/>
          </w:tcPr>
          <w:p w14:paraId="40CA882D" w14:textId="77777777" w:rsidR="005527F8" w:rsidRDefault="005527F8">
            <w:pPr>
              <w:jc w:val="center"/>
              <w:rPr>
                <w:rFonts w:ascii="Calibri" w:hAnsi="Calibri" w:cs="Calibri"/>
                <w:b/>
                <w:bCs/>
                <w:color w:val="000000"/>
                <w:sz w:val="22"/>
                <w:szCs w:val="22"/>
              </w:rPr>
            </w:pPr>
            <w:r>
              <w:rPr>
                <w:rFonts w:ascii="Calibri" w:hAnsi="Calibri" w:cs="Calibri"/>
                <w:b/>
                <w:bCs/>
                <w:color w:val="000000"/>
                <w:sz w:val="22"/>
                <w:szCs w:val="22"/>
              </w:rPr>
              <w:t>Soluciones Terminadas</w:t>
            </w:r>
          </w:p>
        </w:tc>
      </w:tr>
      <w:tr w:rsidR="005527F8" w14:paraId="561020BB" w14:textId="77777777" w:rsidTr="005527F8">
        <w:trPr>
          <w:trHeight w:val="288"/>
        </w:trPr>
        <w:tc>
          <w:tcPr>
            <w:tcW w:w="1420" w:type="dxa"/>
            <w:vMerge/>
            <w:tcBorders>
              <w:top w:val="single" w:sz="4" w:space="0" w:color="auto"/>
              <w:left w:val="single" w:sz="4" w:space="0" w:color="auto"/>
              <w:bottom w:val="nil"/>
              <w:right w:val="nil"/>
            </w:tcBorders>
            <w:vAlign w:val="center"/>
            <w:hideMark/>
          </w:tcPr>
          <w:p w14:paraId="397688DB" w14:textId="77777777" w:rsidR="005527F8" w:rsidRDefault="005527F8">
            <w:pPr>
              <w:rPr>
                <w:rFonts w:ascii="Calibri" w:hAnsi="Calibri" w:cs="Calibri"/>
                <w:b/>
                <w:bCs/>
                <w:color w:val="000000"/>
                <w:sz w:val="22"/>
                <w:szCs w:val="22"/>
              </w:rPr>
            </w:pPr>
          </w:p>
        </w:tc>
        <w:tc>
          <w:tcPr>
            <w:tcW w:w="1240" w:type="dxa"/>
            <w:vMerge/>
            <w:tcBorders>
              <w:top w:val="single" w:sz="4" w:space="0" w:color="auto"/>
              <w:left w:val="nil"/>
              <w:bottom w:val="nil"/>
              <w:right w:val="nil"/>
            </w:tcBorders>
            <w:vAlign w:val="center"/>
            <w:hideMark/>
          </w:tcPr>
          <w:p w14:paraId="136D1A5E" w14:textId="77777777" w:rsidR="005527F8" w:rsidRDefault="005527F8">
            <w:pPr>
              <w:rPr>
                <w:rFonts w:ascii="Calibri" w:hAnsi="Calibri" w:cs="Calibri"/>
                <w:b/>
                <w:bCs/>
                <w:color w:val="000000"/>
                <w:sz w:val="22"/>
                <w:szCs w:val="22"/>
              </w:rPr>
            </w:pPr>
          </w:p>
        </w:tc>
        <w:tc>
          <w:tcPr>
            <w:tcW w:w="2240" w:type="dxa"/>
            <w:vMerge/>
            <w:tcBorders>
              <w:top w:val="single" w:sz="4" w:space="0" w:color="auto"/>
              <w:left w:val="nil"/>
              <w:bottom w:val="nil"/>
              <w:right w:val="nil"/>
            </w:tcBorders>
            <w:vAlign w:val="center"/>
            <w:hideMark/>
          </w:tcPr>
          <w:p w14:paraId="5B9955B3" w14:textId="77777777" w:rsidR="005527F8" w:rsidRDefault="005527F8">
            <w:pPr>
              <w:rPr>
                <w:rFonts w:ascii="Calibri" w:hAnsi="Calibri" w:cs="Calibri"/>
                <w:b/>
                <w:bCs/>
                <w:color w:val="000000"/>
                <w:sz w:val="22"/>
                <w:szCs w:val="22"/>
              </w:rPr>
            </w:pPr>
          </w:p>
        </w:tc>
        <w:tc>
          <w:tcPr>
            <w:tcW w:w="1240" w:type="dxa"/>
            <w:tcBorders>
              <w:top w:val="nil"/>
              <w:left w:val="nil"/>
              <w:bottom w:val="nil"/>
              <w:right w:val="nil"/>
            </w:tcBorders>
            <w:shd w:val="clear" w:color="000000" w:fill="C4D79B"/>
            <w:noWrap/>
            <w:vAlign w:val="bottom"/>
            <w:hideMark/>
          </w:tcPr>
          <w:p w14:paraId="24798DCB" w14:textId="77777777" w:rsidR="005527F8" w:rsidRDefault="005527F8">
            <w:pPr>
              <w:jc w:val="center"/>
              <w:rPr>
                <w:rFonts w:ascii="Calibri" w:hAnsi="Calibri" w:cs="Calibri"/>
                <w:b/>
                <w:bCs/>
                <w:color w:val="000000"/>
                <w:sz w:val="22"/>
                <w:szCs w:val="22"/>
              </w:rPr>
            </w:pPr>
            <w:r>
              <w:rPr>
                <w:rFonts w:ascii="Calibri" w:hAnsi="Calibri" w:cs="Calibri"/>
                <w:b/>
                <w:bCs/>
                <w:color w:val="000000"/>
                <w:sz w:val="22"/>
                <w:szCs w:val="22"/>
              </w:rPr>
              <w:t>Sep-25</w:t>
            </w:r>
          </w:p>
        </w:tc>
        <w:tc>
          <w:tcPr>
            <w:tcW w:w="1240" w:type="dxa"/>
            <w:tcBorders>
              <w:top w:val="nil"/>
              <w:left w:val="nil"/>
              <w:bottom w:val="nil"/>
              <w:right w:val="nil"/>
            </w:tcBorders>
            <w:shd w:val="clear" w:color="000000" w:fill="C4D79B"/>
            <w:noWrap/>
            <w:vAlign w:val="bottom"/>
            <w:hideMark/>
          </w:tcPr>
          <w:p w14:paraId="66416F73" w14:textId="77777777" w:rsidR="005527F8" w:rsidRDefault="005527F8">
            <w:pPr>
              <w:jc w:val="center"/>
              <w:rPr>
                <w:rFonts w:ascii="Calibri" w:hAnsi="Calibri" w:cs="Calibri"/>
                <w:b/>
                <w:bCs/>
                <w:color w:val="000000"/>
                <w:sz w:val="22"/>
                <w:szCs w:val="22"/>
              </w:rPr>
            </w:pPr>
            <w:r>
              <w:rPr>
                <w:rFonts w:ascii="Calibri" w:hAnsi="Calibri" w:cs="Calibri"/>
                <w:b/>
                <w:bCs/>
                <w:color w:val="000000"/>
                <w:sz w:val="22"/>
                <w:szCs w:val="22"/>
              </w:rPr>
              <w:t>Nov-25</w:t>
            </w:r>
          </w:p>
        </w:tc>
        <w:tc>
          <w:tcPr>
            <w:tcW w:w="1240" w:type="dxa"/>
            <w:tcBorders>
              <w:top w:val="nil"/>
              <w:left w:val="nil"/>
              <w:bottom w:val="nil"/>
              <w:right w:val="single" w:sz="4" w:space="0" w:color="auto"/>
            </w:tcBorders>
            <w:shd w:val="clear" w:color="000000" w:fill="C4D79B"/>
            <w:noWrap/>
            <w:vAlign w:val="bottom"/>
            <w:hideMark/>
          </w:tcPr>
          <w:p w14:paraId="775D6C49" w14:textId="77777777" w:rsidR="005527F8" w:rsidRDefault="005527F8">
            <w:pPr>
              <w:jc w:val="center"/>
              <w:rPr>
                <w:rFonts w:ascii="Calibri" w:hAnsi="Calibri" w:cs="Calibri"/>
                <w:b/>
                <w:bCs/>
                <w:color w:val="000000"/>
                <w:sz w:val="22"/>
                <w:szCs w:val="22"/>
              </w:rPr>
            </w:pPr>
            <w:r>
              <w:rPr>
                <w:rFonts w:ascii="Calibri" w:hAnsi="Calibri" w:cs="Calibri"/>
                <w:b/>
                <w:bCs/>
                <w:color w:val="000000"/>
                <w:sz w:val="22"/>
                <w:szCs w:val="22"/>
              </w:rPr>
              <w:t>Feb-26</w:t>
            </w:r>
          </w:p>
        </w:tc>
      </w:tr>
      <w:tr w:rsidR="005527F8" w14:paraId="75D99C09" w14:textId="77777777" w:rsidTr="005527F8">
        <w:trPr>
          <w:trHeight w:val="288"/>
        </w:trPr>
        <w:tc>
          <w:tcPr>
            <w:tcW w:w="1420" w:type="dxa"/>
            <w:tcBorders>
              <w:top w:val="nil"/>
              <w:left w:val="single" w:sz="4" w:space="0" w:color="auto"/>
              <w:bottom w:val="nil"/>
              <w:right w:val="nil"/>
            </w:tcBorders>
            <w:noWrap/>
            <w:vAlign w:val="bottom"/>
            <w:hideMark/>
          </w:tcPr>
          <w:p w14:paraId="43C49BA5"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2000</w:t>
            </w:r>
          </w:p>
        </w:tc>
        <w:tc>
          <w:tcPr>
            <w:tcW w:w="1240" w:type="dxa"/>
            <w:tcBorders>
              <w:top w:val="nil"/>
              <w:left w:val="nil"/>
              <w:bottom w:val="nil"/>
              <w:right w:val="nil"/>
            </w:tcBorders>
            <w:noWrap/>
            <w:vAlign w:val="bottom"/>
            <w:hideMark/>
          </w:tcPr>
          <w:p w14:paraId="6893F07D"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12,345</w:t>
            </w:r>
          </w:p>
        </w:tc>
        <w:tc>
          <w:tcPr>
            <w:tcW w:w="2240" w:type="dxa"/>
            <w:tcBorders>
              <w:top w:val="nil"/>
              <w:left w:val="nil"/>
              <w:bottom w:val="nil"/>
              <w:right w:val="nil"/>
            </w:tcBorders>
            <w:noWrap/>
            <w:vAlign w:val="bottom"/>
            <w:hideMark/>
          </w:tcPr>
          <w:p w14:paraId="0E7DECAA"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64.724.691.075</w:t>
            </w:r>
          </w:p>
        </w:tc>
        <w:tc>
          <w:tcPr>
            <w:tcW w:w="1240" w:type="dxa"/>
            <w:tcBorders>
              <w:top w:val="nil"/>
              <w:left w:val="nil"/>
              <w:bottom w:val="nil"/>
              <w:right w:val="nil"/>
            </w:tcBorders>
            <w:noWrap/>
            <w:vAlign w:val="bottom"/>
            <w:hideMark/>
          </w:tcPr>
          <w:p w14:paraId="0FECF5E6"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12,341</w:t>
            </w:r>
          </w:p>
        </w:tc>
        <w:tc>
          <w:tcPr>
            <w:tcW w:w="1240" w:type="dxa"/>
            <w:tcBorders>
              <w:top w:val="nil"/>
              <w:left w:val="nil"/>
              <w:bottom w:val="nil"/>
              <w:right w:val="nil"/>
            </w:tcBorders>
            <w:noWrap/>
            <w:vAlign w:val="bottom"/>
            <w:hideMark/>
          </w:tcPr>
          <w:p w14:paraId="10A23E9E"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12,341</w:t>
            </w:r>
          </w:p>
        </w:tc>
        <w:tc>
          <w:tcPr>
            <w:tcW w:w="1240" w:type="dxa"/>
            <w:tcBorders>
              <w:top w:val="nil"/>
              <w:left w:val="nil"/>
              <w:bottom w:val="nil"/>
              <w:right w:val="single" w:sz="4" w:space="0" w:color="auto"/>
            </w:tcBorders>
            <w:noWrap/>
            <w:vAlign w:val="bottom"/>
            <w:hideMark/>
          </w:tcPr>
          <w:p w14:paraId="3B48E082"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12,341</w:t>
            </w:r>
          </w:p>
        </w:tc>
      </w:tr>
      <w:tr w:rsidR="005527F8" w14:paraId="74FF145F" w14:textId="77777777" w:rsidTr="005527F8">
        <w:trPr>
          <w:trHeight w:val="288"/>
        </w:trPr>
        <w:tc>
          <w:tcPr>
            <w:tcW w:w="1420" w:type="dxa"/>
            <w:tcBorders>
              <w:top w:val="nil"/>
              <w:left w:val="single" w:sz="4" w:space="0" w:color="auto"/>
              <w:bottom w:val="nil"/>
              <w:right w:val="nil"/>
            </w:tcBorders>
            <w:noWrap/>
            <w:vAlign w:val="bottom"/>
            <w:hideMark/>
          </w:tcPr>
          <w:p w14:paraId="38440A0B"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2001</w:t>
            </w:r>
          </w:p>
        </w:tc>
        <w:tc>
          <w:tcPr>
            <w:tcW w:w="1240" w:type="dxa"/>
            <w:tcBorders>
              <w:top w:val="nil"/>
              <w:left w:val="nil"/>
              <w:bottom w:val="nil"/>
              <w:right w:val="nil"/>
            </w:tcBorders>
            <w:noWrap/>
            <w:vAlign w:val="bottom"/>
            <w:hideMark/>
          </w:tcPr>
          <w:p w14:paraId="25421CBE"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12,582</w:t>
            </w:r>
          </w:p>
        </w:tc>
        <w:tc>
          <w:tcPr>
            <w:tcW w:w="2240" w:type="dxa"/>
            <w:tcBorders>
              <w:top w:val="nil"/>
              <w:left w:val="nil"/>
              <w:bottom w:val="nil"/>
              <w:right w:val="nil"/>
            </w:tcBorders>
            <w:noWrap/>
            <w:vAlign w:val="bottom"/>
            <w:hideMark/>
          </w:tcPr>
          <w:p w14:paraId="74556935"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78.150.921.194</w:t>
            </w:r>
          </w:p>
        </w:tc>
        <w:tc>
          <w:tcPr>
            <w:tcW w:w="1240" w:type="dxa"/>
            <w:tcBorders>
              <w:top w:val="nil"/>
              <w:left w:val="nil"/>
              <w:bottom w:val="nil"/>
              <w:right w:val="nil"/>
            </w:tcBorders>
            <w:noWrap/>
            <w:vAlign w:val="bottom"/>
            <w:hideMark/>
          </w:tcPr>
          <w:p w14:paraId="0BB1FB56"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12,555</w:t>
            </w:r>
          </w:p>
        </w:tc>
        <w:tc>
          <w:tcPr>
            <w:tcW w:w="1240" w:type="dxa"/>
            <w:tcBorders>
              <w:top w:val="nil"/>
              <w:left w:val="nil"/>
              <w:bottom w:val="nil"/>
              <w:right w:val="nil"/>
            </w:tcBorders>
            <w:noWrap/>
            <w:vAlign w:val="bottom"/>
            <w:hideMark/>
          </w:tcPr>
          <w:p w14:paraId="4603C711"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12,555</w:t>
            </w:r>
          </w:p>
        </w:tc>
        <w:tc>
          <w:tcPr>
            <w:tcW w:w="1240" w:type="dxa"/>
            <w:tcBorders>
              <w:top w:val="nil"/>
              <w:left w:val="nil"/>
              <w:bottom w:val="nil"/>
              <w:right w:val="single" w:sz="4" w:space="0" w:color="auto"/>
            </w:tcBorders>
            <w:noWrap/>
            <w:vAlign w:val="bottom"/>
            <w:hideMark/>
          </w:tcPr>
          <w:p w14:paraId="19F8B331"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12,555</w:t>
            </w:r>
          </w:p>
        </w:tc>
      </w:tr>
      <w:tr w:rsidR="005527F8" w14:paraId="7927BD20" w14:textId="77777777" w:rsidTr="005527F8">
        <w:trPr>
          <w:trHeight w:val="288"/>
        </w:trPr>
        <w:tc>
          <w:tcPr>
            <w:tcW w:w="1420" w:type="dxa"/>
            <w:tcBorders>
              <w:top w:val="nil"/>
              <w:left w:val="single" w:sz="4" w:space="0" w:color="auto"/>
              <w:bottom w:val="nil"/>
              <w:right w:val="nil"/>
            </w:tcBorders>
            <w:noWrap/>
            <w:vAlign w:val="bottom"/>
            <w:hideMark/>
          </w:tcPr>
          <w:p w14:paraId="78BD7BD7"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2002</w:t>
            </w:r>
          </w:p>
        </w:tc>
        <w:tc>
          <w:tcPr>
            <w:tcW w:w="1240" w:type="dxa"/>
            <w:tcBorders>
              <w:top w:val="nil"/>
              <w:left w:val="nil"/>
              <w:bottom w:val="nil"/>
              <w:right w:val="nil"/>
            </w:tcBorders>
            <w:noWrap/>
            <w:vAlign w:val="bottom"/>
            <w:hideMark/>
          </w:tcPr>
          <w:p w14:paraId="1844E6B6"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9.65</w:t>
            </w:r>
          </w:p>
        </w:tc>
        <w:tc>
          <w:tcPr>
            <w:tcW w:w="2240" w:type="dxa"/>
            <w:tcBorders>
              <w:top w:val="nil"/>
              <w:left w:val="nil"/>
              <w:bottom w:val="nil"/>
              <w:right w:val="nil"/>
            </w:tcBorders>
            <w:noWrap/>
            <w:vAlign w:val="bottom"/>
            <w:hideMark/>
          </w:tcPr>
          <w:p w14:paraId="2653947C"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63.651.577.204</w:t>
            </w:r>
          </w:p>
        </w:tc>
        <w:tc>
          <w:tcPr>
            <w:tcW w:w="1240" w:type="dxa"/>
            <w:tcBorders>
              <w:top w:val="nil"/>
              <w:left w:val="nil"/>
              <w:bottom w:val="nil"/>
              <w:right w:val="nil"/>
            </w:tcBorders>
            <w:noWrap/>
            <w:vAlign w:val="bottom"/>
            <w:hideMark/>
          </w:tcPr>
          <w:p w14:paraId="6F740DA5"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9,496</w:t>
            </w:r>
          </w:p>
        </w:tc>
        <w:tc>
          <w:tcPr>
            <w:tcW w:w="1240" w:type="dxa"/>
            <w:tcBorders>
              <w:top w:val="nil"/>
              <w:left w:val="nil"/>
              <w:bottom w:val="nil"/>
              <w:right w:val="nil"/>
            </w:tcBorders>
            <w:noWrap/>
            <w:vAlign w:val="bottom"/>
            <w:hideMark/>
          </w:tcPr>
          <w:p w14:paraId="523C6069"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9,496</w:t>
            </w:r>
          </w:p>
        </w:tc>
        <w:tc>
          <w:tcPr>
            <w:tcW w:w="1240" w:type="dxa"/>
            <w:tcBorders>
              <w:top w:val="nil"/>
              <w:left w:val="nil"/>
              <w:bottom w:val="nil"/>
              <w:right w:val="single" w:sz="4" w:space="0" w:color="auto"/>
            </w:tcBorders>
            <w:noWrap/>
            <w:vAlign w:val="bottom"/>
            <w:hideMark/>
          </w:tcPr>
          <w:p w14:paraId="714B8484"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9,496</w:t>
            </w:r>
          </w:p>
        </w:tc>
      </w:tr>
      <w:tr w:rsidR="005527F8" w14:paraId="2174FFAC" w14:textId="77777777" w:rsidTr="005527F8">
        <w:trPr>
          <w:trHeight w:val="288"/>
        </w:trPr>
        <w:tc>
          <w:tcPr>
            <w:tcW w:w="1420" w:type="dxa"/>
            <w:tcBorders>
              <w:top w:val="nil"/>
              <w:left w:val="single" w:sz="4" w:space="0" w:color="auto"/>
              <w:bottom w:val="nil"/>
              <w:right w:val="nil"/>
            </w:tcBorders>
            <w:noWrap/>
            <w:vAlign w:val="bottom"/>
            <w:hideMark/>
          </w:tcPr>
          <w:p w14:paraId="048F7A87"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2003</w:t>
            </w:r>
          </w:p>
        </w:tc>
        <w:tc>
          <w:tcPr>
            <w:tcW w:w="1240" w:type="dxa"/>
            <w:tcBorders>
              <w:top w:val="nil"/>
              <w:left w:val="nil"/>
              <w:bottom w:val="nil"/>
              <w:right w:val="nil"/>
            </w:tcBorders>
            <w:noWrap/>
            <w:vAlign w:val="bottom"/>
            <w:hideMark/>
          </w:tcPr>
          <w:p w14:paraId="0F5C30F0"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9.37</w:t>
            </w:r>
          </w:p>
        </w:tc>
        <w:tc>
          <w:tcPr>
            <w:tcW w:w="2240" w:type="dxa"/>
            <w:tcBorders>
              <w:top w:val="nil"/>
              <w:left w:val="nil"/>
              <w:bottom w:val="nil"/>
              <w:right w:val="nil"/>
            </w:tcBorders>
            <w:noWrap/>
            <w:vAlign w:val="bottom"/>
            <w:hideMark/>
          </w:tcPr>
          <w:p w14:paraId="5ECE1AE3"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65.996.760.479</w:t>
            </w:r>
          </w:p>
        </w:tc>
        <w:tc>
          <w:tcPr>
            <w:tcW w:w="1240" w:type="dxa"/>
            <w:tcBorders>
              <w:top w:val="nil"/>
              <w:left w:val="nil"/>
              <w:bottom w:val="nil"/>
              <w:right w:val="nil"/>
            </w:tcBorders>
            <w:noWrap/>
            <w:vAlign w:val="bottom"/>
            <w:hideMark/>
          </w:tcPr>
          <w:p w14:paraId="23EA5D0B"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8,754</w:t>
            </w:r>
          </w:p>
        </w:tc>
        <w:tc>
          <w:tcPr>
            <w:tcW w:w="1240" w:type="dxa"/>
            <w:tcBorders>
              <w:top w:val="nil"/>
              <w:left w:val="nil"/>
              <w:bottom w:val="nil"/>
              <w:right w:val="nil"/>
            </w:tcBorders>
            <w:noWrap/>
            <w:vAlign w:val="bottom"/>
            <w:hideMark/>
          </w:tcPr>
          <w:p w14:paraId="71003C05"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8,754</w:t>
            </w:r>
          </w:p>
        </w:tc>
        <w:tc>
          <w:tcPr>
            <w:tcW w:w="1240" w:type="dxa"/>
            <w:tcBorders>
              <w:top w:val="nil"/>
              <w:left w:val="nil"/>
              <w:bottom w:val="nil"/>
              <w:right w:val="single" w:sz="4" w:space="0" w:color="auto"/>
            </w:tcBorders>
            <w:noWrap/>
            <w:vAlign w:val="bottom"/>
            <w:hideMark/>
          </w:tcPr>
          <w:p w14:paraId="310B8188"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8,754</w:t>
            </w:r>
          </w:p>
        </w:tc>
      </w:tr>
      <w:tr w:rsidR="005527F8" w14:paraId="45710CCC" w14:textId="77777777" w:rsidTr="005527F8">
        <w:trPr>
          <w:trHeight w:val="288"/>
        </w:trPr>
        <w:tc>
          <w:tcPr>
            <w:tcW w:w="1420" w:type="dxa"/>
            <w:tcBorders>
              <w:top w:val="nil"/>
              <w:left w:val="single" w:sz="4" w:space="0" w:color="auto"/>
              <w:bottom w:val="nil"/>
              <w:right w:val="nil"/>
            </w:tcBorders>
            <w:noWrap/>
            <w:vAlign w:val="bottom"/>
            <w:hideMark/>
          </w:tcPr>
          <w:p w14:paraId="208124FB"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2004</w:t>
            </w:r>
          </w:p>
        </w:tc>
        <w:tc>
          <w:tcPr>
            <w:tcW w:w="1240" w:type="dxa"/>
            <w:tcBorders>
              <w:top w:val="nil"/>
              <w:left w:val="nil"/>
              <w:bottom w:val="nil"/>
              <w:right w:val="nil"/>
            </w:tcBorders>
            <w:noWrap/>
            <w:vAlign w:val="bottom"/>
            <w:hideMark/>
          </w:tcPr>
          <w:p w14:paraId="15746D34"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14,979</w:t>
            </w:r>
          </w:p>
        </w:tc>
        <w:tc>
          <w:tcPr>
            <w:tcW w:w="2240" w:type="dxa"/>
            <w:tcBorders>
              <w:top w:val="nil"/>
              <w:left w:val="nil"/>
              <w:bottom w:val="nil"/>
              <w:right w:val="nil"/>
            </w:tcBorders>
            <w:noWrap/>
            <w:vAlign w:val="bottom"/>
            <w:hideMark/>
          </w:tcPr>
          <w:p w14:paraId="2E8E2A53"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130.076.360.723</w:t>
            </w:r>
          </w:p>
        </w:tc>
        <w:tc>
          <w:tcPr>
            <w:tcW w:w="1240" w:type="dxa"/>
            <w:tcBorders>
              <w:top w:val="nil"/>
              <w:left w:val="nil"/>
              <w:bottom w:val="nil"/>
              <w:right w:val="nil"/>
            </w:tcBorders>
            <w:noWrap/>
            <w:vAlign w:val="bottom"/>
            <w:hideMark/>
          </w:tcPr>
          <w:p w14:paraId="1EFA821A"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12,509</w:t>
            </w:r>
          </w:p>
        </w:tc>
        <w:tc>
          <w:tcPr>
            <w:tcW w:w="1240" w:type="dxa"/>
            <w:tcBorders>
              <w:top w:val="nil"/>
              <w:left w:val="nil"/>
              <w:bottom w:val="nil"/>
              <w:right w:val="nil"/>
            </w:tcBorders>
            <w:noWrap/>
            <w:vAlign w:val="bottom"/>
            <w:hideMark/>
          </w:tcPr>
          <w:p w14:paraId="0B5DF205"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12,509</w:t>
            </w:r>
          </w:p>
        </w:tc>
        <w:tc>
          <w:tcPr>
            <w:tcW w:w="1240" w:type="dxa"/>
            <w:tcBorders>
              <w:top w:val="nil"/>
              <w:left w:val="nil"/>
              <w:bottom w:val="nil"/>
              <w:right w:val="single" w:sz="4" w:space="0" w:color="auto"/>
            </w:tcBorders>
            <w:noWrap/>
            <w:vAlign w:val="bottom"/>
            <w:hideMark/>
          </w:tcPr>
          <w:p w14:paraId="2E1A63BD"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12,509</w:t>
            </w:r>
          </w:p>
        </w:tc>
      </w:tr>
      <w:tr w:rsidR="005527F8" w14:paraId="5E9EEB34" w14:textId="77777777" w:rsidTr="005527F8">
        <w:trPr>
          <w:trHeight w:val="288"/>
        </w:trPr>
        <w:tc>
          <w:tcPr>
            <w:tcW w:w="1420" w:type="dxa"/>
            <w:tcBorders>
              <w:top w:val="nil"/>
              <w:left w:val="single" w:sz="4" w:space="0" w:color="auto"/>
              <w:bottom w:val="nil"/>
              <w:right w:val="nil"/>
            </w:tcBorders>
            <w:noWrap/>
            <w:vAlign w:val="bottom"/>
            <w:hideMark/>
          </w:tcPr>
          <w:p w14:paraId="1D04BE5C"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2005</w:t>
            </w:r>
          </w:p>
        </w:tc>
        <w:tc>
          <w:tcPr>
            <w:tcW w:w="1240" w:type="dxa"/>
            <w:tcBorders>
              <w:top w:val="nil"/>
              <w:left w:val="nil"/>
              <w:bottom w:val="nil"/>
              <w:right w:val="nil"/>
            </w:tcBorders>
            <w:noWrap/>
            <w:vAlign w:val="bottom"/>
            <w:hideMark/>
          </w:tcPr>
          <w:p w14:paraId="5A079780"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12,935</w:t>
            </w:r>
          </w:p>
        </w:tc>
        <w:tc>
          <w:tcPr>
            <w:tcW w:w="2240" w:type="dxa"/>
            <w:tcBorders>
              <w:top w:val="nil"/>
              <w:left w:val="nil"/>
              <w:bottom w:val="nil"/>
              <w:right w:val="nil"/>
            </w:tcBorders>
            <w:noWrap/>
            <w:vAlign w:val="bottom"/>
            <w:hideMark/>
          </w:tcPr>
          <w:p w14:paraId="704BFFA9"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101.866.747.251</w:t>
            </w:r>
          </w:p>
        </w:tc>
        <w:tc>
          <w:tcPr>
            <w:tcW w:w="1240" w:type="dxa"/>
            <w:tcBorders>
              <w:top w:val="nil"/>
              <w:left w:val="nil"/>
              <w:bottom w:val="nil"/>
              <w:right w:val="nil"/>
            </w:tcBorders>
            <w:noWrap/>
            <w:vAlign w:val="bottom"/>
            <w:hideMark/>
          </w:tcPr>
          <w:p w14:paraId="2E9BE165"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10,284</w:t>
            </w:r>
          </w:p>
        </w:tc>
        <w:tc>
          <w:tcPr>
            <w:tcW w:w="1240" w:type="dxa"/>
            <w:tcBorders>
              <w:top w:val="nil"/>
              <w:left w:val="nil"/>
              <w:bottom w:val="nil"/>
              <w:right w:val="nil"/>
            </w:tcBorders>
            <w:noWrap/>
            <w:vAlign w:val="bottom"/>
            <w:hideMark/>
          </w:tcPr>
          <w:p w14:paraId="2D22A1DB"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10,334</w:t>
            </w:r>
          </w:p>
        </w:tc>
        <w:tc>
          <w:tcPr>
            <w:tcW w:w="1240" w:type="dxa"/>
            <w:tcBorders>
              <w:top w:val="nil"/>
              <w:left w:val="nil"/>
              <w:bottom w:val="nil"/>
              <w:right w:val="single" w:sz="4" w:space="0" w:color="auto"/>
            </w:tcBorders>
            <w:noWrap/>
            <w:vAlign w:val="bottom"/>
            <w:hideMark/>
          </w:tcPr>
          <w:p w14:paraId="24A810F2"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10,334</w:t>
            </w:r>
          </w:p>
        </w:tc>
      </w:tr>
      <w:tr w:rsidR="005527F8" w14:paraId="6EA25025" w14:textId="77777777" w:rsidTr="005527F8">
        <w:trPr>
          <w:trHeight w:val="288"/>
        </w:trPr>
        <w:tc>
          <w:tcPr>
            <w:tcW w:w="1420" w:type="dxa"/>
            <w:tcBorders>
              <w:top w:val="nil"/>
              <w:left w:val="single" w:sz="4" w:space="0" w:color="auto"/>
              <w:bottom w:val="nil"/>
              <w:right w:val="nil"/>
            </w:tcBorders>
            <w:noWrap/>
            <w:vAlign w:val="bottom"/>
            <w:hideMark/>
          </w:tcPr>
          <w:p w14:paraId="11B21B2F"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2006</w:t>
            </w:r>
          </w:p>
        </w:tc>
        <w:tc>
          <w:tcPr>
            <w:tcW w:w="1240" w:type="dxa"/>
            <w:tcBorders>
              <w:top w:val="nil"/>
              <w:left w:val="nil"/>
              <w:bottom w:val="nil"/>
              <w:right w:val="nil"/>
            </w:tcBorders>
            <w:noWrap/>
            <w:vAlign w:val="bottom"/>
            <w:hideMark/>
          </w:tcPr>
          <w:p w14:paraId="78C9A620"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13,507</w:t>
            </w:r>
          </w:p>
        </w:tc>
        <w:tc>
          <w:tcPr>
            <w:tcW w:w="2240" w:type="dxa"/>
            <w:tcBorders>
              <w:top w:val="nil"/>
              <w:left w:val="nil"/>
              <w:bottom w:val="nil"/>
              <w:right w:val="nil"/>
            </w:tcBorders>
            <w:noWrap/>
            <w:vAlign w:val="bottom"/>
            <w:hideMark/>
          </w:tcPr>
          <w:p w14:paraId="6AF70179"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116.616.218.168</w:t>
            </w:r>
          </w:p>
        </w:tc>
        <w:tc>
          <w:tcPr>
            <w:tcW w:w="1240" w:type="dxa"/>
            <w:tcBorders>
              <w:top w:val="nil"/>
              <w:left w:val="nil"/>
              <w:bottom w:val="nil"/>
              <w:right w:val="nil"/>
            </w:tcBorders>
            <w:noWrap/>
            <w:vAlign w:val="bottom"/>
            <w:hideMark/>
          </w:tcPr>
          <w:p w14:paraId="210075DF"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10,107</w:t>
            </w:r>
          </w:p>
        </w:tc>
        <w:tc>
          <w:tcPr>
            <w:tcW w:w="1240" w:type="dxa"/>
            <w:tcBorders>
              <w:top w:val="nil"/>
              <w:left w:val="nil"/>
              <w:bottom w:val="nil"/>
              <w:right w:val="nil"/>
            </w:tcBorders>
            <w:noWrap/>
            <w:vAlign w:val="bottom"/>
            <w:hideMark/>
          </w:tcPr>
          <w:p w14:paraId="29B6A9AE"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10,057</w:t>
            </w:r>
          </w:p>
        </w:tc>
        <w:tc>
          <w:tcPr>
            <w:tcW w:w="1240" w:type="dxa"/>
            <w:tcBorders>
              <w:top w:val="nil"/>
              <w:left w:val="nil"/>
              <w:bottom w:val="nil"/>
              <w:right w:val="single" w:sz="4" w:space="0" w:color="auto"/>
            </w:tcBorders>
            <w:noWrap/>
            <w:vAlign w:val="bottom"/>
            <w:hideMark/>
          </w:tcPr>
          <w:p w14:paraId="5F983E7E"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10,057</w:t>
            </w:r>
          </w:p>
        </w:tc>
      </w:tr>
      <w:tr w:rsidR="005527F8" w14:paraId="54E00D5E" w14:textId="77777777" w:rsidTr="005527F8">
        <w:trPr>
          <w:trHeight w:val="288"/>
        </w:trPr>
        <w:tc>
          <w:tcPr>
            <w:tcW w:w="1420" w:type="dxa"/>
            <w:tcBorders>
              <w:top w:val="nil"/>
              <w:left w:val="single" w:sz="4" w:space="0" w:color="auto"/>
              <w:bottom w:val="nil"/>
              <w:right w:val="nil"/>
            </w:tcBorders>
            <w:noWrap/>
            <w:vAlign w:val="bottom"/>
            <w:hideMark/>
          </w:tcPr>
          <w:p w14:paraId="63E99C9E"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2007</w:t>
            </w:r>
          </w:p>
        </w:tc>
        <w:tc>
          <w:tcPr>
            <w:tcW w:w="1240" w:type="dxa"/>
            <w:tcBorders>
              <w:top w:val="nil"/>
              <w:left w:val="nil"/>
              <w:bottom w:val="nil"/>
              <w:right w:val="nil"/>
            </w:tcBorders>
            <w:noWrap/>
            <w:vAlign w:val="bottom"/>
            <w:hideMark/>
          </w:tcPr>
          <w:p w14:paraId="142A38EF"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12,499</w:t>
            </w:r>
          </w:p>
        </w:tc>
        <w:tc>
          <w:tcPr>
            <w:tcW w:w="2240" w:type="dxa"/>
            <w:tcBorders>
              <w:top w:val="nil"/>
              <w:left w:val="nil"/>
              <w:bottom w:val="nil"/>
              <w:right w:val="nil"/>
            </w:tcBorders>
            <w:noWrap/>
            <w:vAlign w:val="bottom"/>
            <w:hideMark/>
          </w:tcPr>
          <w:p w14:paraId="32D6F301"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114.080.264.223</w:t>
            </w:r>
          </w:p>
        </w:tc>
        <w:tc>
          <w:tcPr>
            <w:tcW w:w="1240" w:type="dxa"/>
            <w:tcBorders>
              <w:top w:val="nil"/>
              <w:left w:val="nil"/>
              <w:bottom w:val="nil"/>
              <w:right w:val="nil"/>
            </w:tcBorders>
            <w:noWrap/>
            <w:vAlign w:val="bottom"/>
            <w:hideMark/>
          </w:tcPr>
          <w:p w14:paraId="7B354075"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7,385</w:t>
            </w:r>
          </w:p>
        </w:tc>
        <w:tc>
          <w:tcPr>
            <w:tcW w:w="1240" w:type="dxa"/>
            <w:tcBorders>
              <w:top w:val="nil"/>
              <w:left w:val="nil"/>
              <w:bottom w:val="nil"/>
              <w:right w:val="nil"/>
            </w:tcBorders>
            <w:noWrap/>
            <w:vAlign w:val="bottom"/>
            <w:hideMark/>
          </w:tcPr>
          <w:p w14:paraId="44F6B334"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7,385</w:t>
            </w:r>
          </w:p>
        </w:tc>
        <w:tc>
          <w:tcPr>
            <w:tcW w:w="1240" w:type="dxa"/>
            <w:tcBorders>
              <w:top w:val="nil"/>
              <w:left w:val="nil"/>
              <w:bottom w:val="nil"/>
              <w:right w:val="single" w:sz="4" w:space="0" w:color="auto"/>
            </w:tcBorders>
            <w:noWrap/>
            <w:vAlign w:val="bottom"/>
            <w:hideMark/>
          </w:tcPr>
          <w:p w14:paraId="47459E8B"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7,385</w:t>
            </w:r>
          </w:p>
        </w:tc>
      </w:tr>
      <w:tr w:rsidR="005527F8" w14:paraId="22E9707C" w14:textId="77777777" w:rsidTr="005527F8">
        <w:trPr>
          <w:trHeight w:val="288"/>
        </w:trPr>
        <w:tc>
          <w:tcPr>
            <w:tcW w:w="1420" w:type="dxa"/>
            <w:tcBorders>
              <w:top w:val="nil"/>
              <w:left w:val="single" w:sz="4" w:space="0" w:color="auto"/>
              <w:bottom w:val="nil"/>
              <w:right w:val="nil"/>
            </w:tcBorders>
            <w:noWrap/>
            <w:vAlign w:val="bottom"/>
            <w:hideMark/>
          </w:tcPr>
          <w:p w14:paraId="326DA4F1"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2008</w:t>
            </w:r>
          </w:p>
        </w:tc>
        <w:tc>
          <w:tcPr>
            <w:tcW w:w="1240" w:type="dxa"/>
            <w:tcBorders>
              <w:top w:val="nil"/>
              <w:left w:val="nil"/>
              <w:bottom w:val="nil"/>
              <w:right w:val="nil"/>
            </w:tcBorders>
            <w:noWrap/>
            <w:vAlign w:val="bottom"/>
            <w:hideMark/>
          </w:tcPr>
          <w:p w14:paraId="335D8A91"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9,459</w:t>
            </w:r>
          </w:p>
        </w:tc>
        <w:tc>
          <w:tcPr>
            <w:tcW w:w="2240" w:type="dxa"/>
            <w:tcBorders>
              <w:top w:val="nil"/>
              <w:left w:val="nil"/>
              <w:bottom w:val="nil"/>
              <w:right w:val="nil"/>
            </w:tcBorders>
            <w:noWrap/>
            <w:vAlign w:val="bottom"/>
            <w:hideMark/>
          </w:tcPr>
          <w:p w14:paraId="2699AE6D"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88.052.796.198</w:t>
            </w:r>
          </w:p>
        </w:tc>
        <w:tc>
          <w:tcPr>
            <w:tcW w:w="1240" w:type="dxa"/>
            <w:tcBorders>
              <w:top w:val="nil"/>
              <w:left w:val="nil"/>
              <w:bottom w:val="nil"/>
              <w:right w:val="nil"/>
            </w:tcBorders>
            <w:noWrap/>
            <w:vAlign w:val="bottom"/>
            <w:hideMark/>
          </w:tcPr>
          <w:p w14:paraId="70C54597"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5,915</w:t>
            </w:r>
          </w:p>
        </w:tc>
        <w:tc>
          <w:tcPr>
            <w:tcW w:w="1240" w:type="dxa"/>
            <w:tcBorders>
              <w:top w:val="nil"/>
              <w:left w:val="nil"/>
              <w:bottom w:val="nil"/>
              <w:right w:val="nil"/>
            </w:tcBorders>
            <w:noWrap/>
            <w:vAlign w:val="bottom"/>
            <w:hideMark/>
          </w:tcPr>
          <w:p w14:paraId="5B0BA252"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5,915</w:t>
            </w:r>
          </w:p>
        </w:tc>
        <w:tc>
          <w:tcPr>
            <w:tcW w:w="1240" w:type="dxa"/>
            <w:tcBorders>
              <w:top w:val="nil"/>
              <w:left w:val="nil"/>
              <w:bottom w:val="nil"/>
              <w:right w:val="single" w:sz="4" w:space="0" w:color="auto"/>
            </w:tcBorders>
            <w:noWrap/>
            <w:vAlign w:val="bottom"/>
            <w:hideMark/>
          </w:tcPr>
          <w:p w14:paraId="685F165A"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5,915</w:t>
            </w:r>
          </w:p>
        </w:tc>
      </w:tr>
      <w:tr w:rsidR="005527F8" w14:paraId="5C0F56E7" w14:textId="77777777" w:rsidTr="005527F8">
        <w:trPr>
          <w:trHeight w:val="288"/>
        </w:trPr>
        <w:tc>
          <w:tcPr>
            <w:tcW w:w="1420" w:type="dxa"/>
            <w:tcBorders>
              <w:top w:val="nil"/>
              <w:left w:val="single" w:sz="4" w:space="0" w:color="auto"/>
              <w:bottom w:val="nil"/>
              <w:right w:val="nil"/>
            </w:tcBorders>
            <w:noWrap/>
            <w:vAlign w:val="bottom"/>
            <w:hideMark/>
          </w:tcPr>
          <w:p w14:paraId="708D0D33"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lastRenderedPageBreak/>
              <w:t>2009</w:t>
            </w:r>
          </w:p>
        </w:tc>
        <w:tc>
          <w:tcPr>
            <w:tcW w:w="1240" w:type="dxa"/>
            <w:tcBorders>
              <w:top w:val="nil"/>
              <w:left w:val="nil"/>
              <w:bottom w:val="nil"/>
              <w:right w:val="nil"/>
            </w:tcBorders>
            <w:noWrap/>
            <w:vAlign w:val="bottom"/>
            <w:hideMark/>
          </w:tcPr>
          <w:p w14:paraId="6E405AA8"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1224</w:t>
            </w:r>
          </w:p>
        </w:tc>
        <w:tc>
          <w:tcPr>
            <w:tcW w:w="2240" w:type="dxa"/>
            <w:tcBorders>
              <w:top w:val="nil"/>
              <w:left w:val="nil"/>
              <w:bottom w:val="nil"/>
              <w:right w:val="nil"/>
            </w:tcBorders>
            <w:noWrap/>
            <w:vAlign w:val="bottom"/>
            <w:hideMark/>
          </w:tcPr>
          <w:p w14:paraId="35E2C60F"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14.196.691.816</w:t>
            </w:r>
          </w:p>
        </w:tc>
        <w:tc>
          <w:tcPr>
            <w:tcW w:w="1240" w:type="dxa"/>
            <w:tcBorders>
              <w:top w:val="nil"/>
              <w:left w:val="nil"/>
              <w:bottom w:val="nil"/>
              <w:right w:val="nil"/>
            </w:tcBorders>
            <w:noWrap/>
            <w:vAlign w:val="bottom"/>
            <w:hideMark/>
          </w:tcPr>
          <w:p w14:paraId="57D4FDFF"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904</w:t>
            </w:r>
          </w:p>
        </w:tc>
        <w:tc>
          <w:tcPr>
            <w:tcW w:w="1240" w:type="dxa"/>
            <w:tcBorders>
              <w:top w:val="nil"/>
              <w:left w:val="nil"/>
              <w:bottom w:val="nil"/>
              <w:right w:val="nil"/>
            </w:tcBorders>
            <w:noWrap/>
            <w:vAlign w:val="bottom"/>
            <w:hideMark/>
          </w:tcPr>
          <w:p w14:paraId="21210398"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904</w:t>
            </w:r>
          </w:p>
        </w:tc>
        <w:tc>
          <w:tcPr>
            <w:tcW w:w="1240" w:type="dxa"/>
            <w:tcBorders>
              <w:top w:val="nil"/>
              <w:left w:val="nil"/>
              <w:bottom w:val="nil"/>
              <w:right w:val="single" w:sz="4" w:space="0" w:color="auto"/>
            </w:tcBorders>
            <w:noWrap/>
            <w:vAlign w:val="bottom"/>
            <w:hideMark/>
          </w:tcPr>
          <w:p w14:paraId="0A939D89"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904</w:t>
            </w:r>
          </w:p>
        </w:tc>
      </w:tr>
      <w:tr w:rsidR="005527F8" w14:paraId="5602494C" w14:textId="77777777" w:rsidTr="005527F8">
        <w:trPr>
          <w:trHeight w:val="288"/>
        </w:trPr>
        <w:tc>
          <w:tcPr>
            <w:tcW w:w="1420" w:type="dxa"/>
            <w:tcBorders>
              <w:top w:val="nil"/>
              <w:left w:val="single" w:sz="4" w:space="0" w:color="auto"/>
              <w:bottom w:val="nil"/>
              <w:right w:val="nil"/>
            </w:tcBorders>
            <w:noWrap/>
            <w:vAlign w:val="bottom"/>
            <w:hideMark/>
          </w:tcPr>
          <w:p w14:paraId="5385B65B"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2010</w:t>
            </w:r>
          </w:p>
        </w:tc>
        <w:tc>
          <w:tcPr>
            <w:tcW w:w="1240" w:type="dxa"/>
            <w:tcBorders>
              <w:top w:val="nil"/>
              <w:left w:val="nil"/>
              <w:bottom w:val="nil"/>
              <w:right w:val="nil"/>
            </w:tcBorders>
            <w:noWrap/>
            <w:vAlign w:val="bottom"/>
            <w:hideMark/>
          </w:tcPr>
          <w:p w14:paraId="4BB1A41D"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5,247</w:t>
            </w:r>
          </w:p>
        </w:tc>
        <w:tc>
          <w:tcPr>
            <w:tcW w:w="2240" w:type="dxa"/>
            <w:tcBorders>
              <w:top w:val="nil"/>
              <w:left w:val="nil"/>
              <w:bottom w:val="nil"/>
              <w:right w:val="nil"/>
            </w:tcBorders>
            <w:noWrap/>
            <w:vAlign w:val="bottom"/>
            <w:hideMark/>
          </w:tcPr>
          <w:p w14:paraId="78F1CB51"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71.724.421.942</w:t>
            </w:r>
          </w:p>
        </w:tc>
        <w:tc>
          <w:tcPr>
            <w:tcW w:w="1240" w:type="dxa"/>
            <w:tcBorders>
              <w:top w:val="nil"/>
              <w:left w:val="nil"/>
              <w:bottom w:val="nil"/>
              <w:right w:val="nil"/>
            </w:tcBorders>
            <w:noWrap/>
            <w:vAlign w:val="bottom"/>
            <w:hideMark/>
          </w:tcPr>
          <w:p w14:paraId="6F11DA02"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3,134</w:t>
            </w:r>
          </w:p>
        </w:tc>
        <w:tc>
          <w:tcPr>
            <w:tcW w:w="1240" w:type="dxa"/>
            <w:tcBorders>
              <w:top w:val="nil"/>
              <w:left w:val="nil"/>
              <w:bottom w:val="nil"/>
              <w:right w:val="nil"/>
            </w:tcBorders>
            <w:noWrap/>
            <w:vAlign w:val="bottom"/>
            <w:hideMark/>
          </w:tcPr>
          <w:p w14:paraId="1AE57B09"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3,134</w:t>
            </w:r>
          </w:p>
        </w:tc>
        <w:tc>
          <w:tcPr>
            <w:tcW w:w="1240" w:type="dxa"/>
            <w:tcBorders>
              <w:top w:val="nil"/>
              <w:left w:val="nil"/>
              <w:bottom w:val="nil"/>
              <w:right w:val="single" w:sz="4" w:space="0" w:color="auto"/>
            </w:tcBorders>
            <w:noWrap/>
            <w:vAlign w:val="bottom"/>
            <w:hideMark/>
          </w:tcPr>
          <w:p w14:paraId="70ADC8EE"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3,134</w:t>
            </w:r>
          </w:p>
        </w:tc>
      </w:tr>
      <w:tr w:rsidR="005527F8" w14:paraId="7E257C45" w14:textId="77777777" w:rsidTr="005527F8">
        <w:trPr>
          <w:trHeight w:val="288"/>
        </w:trPr>
        <w:tc>
          <w:tcPr>
            <w:tcW w:w="1420" w:type="dxa"/>
            <w:tcBorders>
              <w:top w:val="nil"/>
              <w:left w:val="single" w:sz="4" w:space="0" w:color="auto"/>
              <w:bottom w:val="nil"/>
              <w:right w:val="nil"/>
            </w:tcBorders>
            <w:noWrap/>
            <w:vAlign w:val="bottom"/>
            <w:hideMark/>
          </w:tcPr>
          <w:p w14:paraId="30C2C5BF"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2011</w:t>
            </w:r>
          </w:p>
        </w:tc>
        <w:tc>
          <w:tcPr>
            <w:tcW w:w="1240" w:type="dxa"/>
            <w:tcBorders>
              <w:top w:val="nil"/>
              <w:left w:val="nil"/>
              <w:bottom w:val="nil"/>
              <w:right w:val="nil"/>
            </w:tcBorders>
            <w:noWrap/>
            <w:vAlign w:val="bottom"/>
            <w:hideMark/>
          </w:tcPr>
          <w:p w14:paraId="3B2901C2"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10,842</w:t>
            </w:r>
          </w:p>
        </w:tc>
        <w:tc>
          <w:tcPr>
            <w:tcW w:w="2240" w:type="dxa"/>
            <w:tcBorders>
              <w:top w:val="nil"/>
              <w:left w:val="nil"/>
              <w:bottom w:val="nil"/>
              <w:right w:val="nil"/>
            </w:tcBorders>
            <w:noWrap/>
            <w:vAlign w:val="bottom"/>
            <w:hideMark/>
          </w:tcPr>
          <w:p w14:paraId="2F35535B"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146.722.472.538</w:t>
            </w:r>
          </w:p>
        </w:tc>
        <w:tc>
          <w:tcPr>
            <w:tcW w:w="1240" w:type="dxa"/>
            <w:tcBorders>
              <w:top w:val="nil"/>
              <w:left w:val="nil"/>
              <w:bottom w:val="nil"/>
              <w:right w:val="nil"/>
            </w:tcBorders>
            <w:noWrap/>
            <w:vAlign w:val="bottom"/>
            <w:hideMark/>
          </w:tcPr>
          <w:p w14:paraId="2BCBA8C5"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10,492</w:t>
            </w:r>
          </w:p>
        </w:tc>
        <w:tc>
          <w:tcPr>
            <w:tcW w:w="1240" w:type="dxa"/>
            <w:tcBorders>
              <w:top w:val="nil"/>
              <w:left w:val="nil"/>
              <w:bottom w:val="nil"/>
              <w:right w:val="nil"/>
            </w:tcBorders>
            <w:noWrap/>
            <w:vAlign w:val="bottom"/>
            <w:hideMark/>
          </w:tcPr>
          <w:p w14:paraId="3F1657D2"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10,492</w:t>
            </w:r>
          </w:p>
        </w:tc>
        <w:tc>
          <w:tcPr>
            <w:tcW w:w="1240" w:type="dxa"/>
            <w:tcBorders>
              <w:top w:val="nil"/>
              <w:left w:val="nil"/>
              <w:bottom w:val="nil"/>
              <w:right w:val="single" w:sz="4" w:space="0" w:color="auto"/>
            </w:tcBorders>
            <w:noWrap/>
            <w:vAlign w:val="bottom"/>
            <w:hideMark/>
          </w:tcPr>
          <w:p w14:paraId="5733ED5A"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10,492</w:t>
            </w:r>
          </w:p>
        </w:tc>
      </w:tr>
      <w:tr w:rsidR="005527F8" w14:paraId="54F746F1" w14:textId="77777777" w:rsidTr="005527F8">
        <w:trPr>
          <w:trHeight w:val="288"/>
        </w:trPr>
        <w:tc>
          <w:tcPr>
            <w:tcW w:w="1420" w:type="dxa"/>
            <w:tcBorders>
              <w:top w:val="nil"/>
              <w:left w:val="single" w:sz="4" w:space="0" w:color="auto"/>
              <w:bottom w:val="nil"/>
              <w:right w:val="nil"/>
            </w:tcBorders>
            <w:noWrap/>
            <w:vAlign w:val="bottom"/>
            <w:hideMark/>
          </w:tcPr>
          <w:p w14:paraId="7F1D5674"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2012</w:t>
            </w:r>
          </w:p>
        </w:tc>
        <w:tc>
          <w:tcPr>
            <w:tcW w:w="1240" w:type="dxa"/>
            <w:tcBorders>
              <w:top w:val="nil"/>
              <w:left w:val="nil"/>
              <w:bottom w:val="nil"/>
              <w:right w:val="nil"/>
            </w:tcBorders>
            <w:noWrap/>
            <w:vAlign w:val="bottom"/>
            <w:hideMark/>
          </w:tcPr>
          <w:p w14:paraId="238A95DB"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11,298</w:t>
            </w:r>
          </w:p>
        </w:tc>
        <w:tc>
          <w:tcPr>
            <w:tcW w:w="2240" w:type="dxa"/>
            <w:tcBorders>
              <w:top w:val="nil"/>
              <w:left w:val="nil"/>
              <w:bottom w:val="nil"/>
              <w:right w:val="nil"/>
            </w:tcBorders>
            <w:noWrap/>
            <w:vAlign w:val="bottom"/>
            <w:hideMark/>
          </w:tcPr>
          <w:p w14:paraId="16A3B3D3"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185.198.671.085</w:t>
            </w:r>
          </w:p>
        </w:tc>
        <w:tc>
          <w:tcPr>
            <w:tcW w:w="1240" w:type="dxa"/>
            <w:tcBorders>
              <w:top w:val="nil"/>
              <w:left w:val="nil"/>
              <w:bottom w:val="nil"/>
              <w:right w:val="nil"/>
            </w:tcBorders>
            <w:noWrap/>
            <w:vAlign w:val="bottom"/>
            <w:hideMark/>
          </w:tcPr>
          <w:p w14:paraId="21366126"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9,751</w:t>
            </w:r>
          </w:p>
        </w:tc>
        <w:tc>
          <w:tcPr>
            <w:tcW w:w="1240" w:type="dxa"/>
            <w:tcBorders>
              <w:top w:val="nil"/>
              <w:left w:val="nil"/>
              <w:bottom w:val="nil"/>
              <w:right w:val="nil"/>
            </w:tcBorders>
            <w:noWrap/>
            <w:vAlign w:val="bottom"/>
            <w:hideMark/>
          </w:tcPr>
          <w:p w14:paraId="3E39AAD3"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9,754</w:t>
            </w:r>
          </w:p>
        </w:tc>
        <w:tc>
          <w:tcPr>
            <w:tcW w:w="1240" w:type="dxa"/>
            <w:tcBorders>
              <w:top w:val="nil"/>
              <w:left w:val="nil"/>
              <w:bottom w:val="nil"/>
              <w:right w:val="single" w:sz="4" w:space="0" w:color="auto"/>
            </w:tcBorders>
            <w:noWrap/>
            <w:vAlign w:val="bottom"/>
            <w:hideMark/>
          </w:tcPr>
          <w:p w14:paraId="455B2716"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9,767</w:t>
            </w:r>
          </w:p>
        </w:tc>
      </w:tr>
      <w:tr w:rsidR="005527F8" w14:paraId="77966007" w14:textId="77777777" w:rsidTr="005527F8">
        <w:trPr>
          <w:trHeight w:val="288"/>
        </w:trPr>
        <w:tc>
          <w:tcPr>
            <w:tcW w:w="1420" w:type="dxa"/>
            <w:tcBorders>
              <w:top w:val="nil"/>
              <w:left w:val="single" w:sz="4" w:space="0" w:color="auto"/>
              <w:bottom w:val="nil"/>
              <w:right w:val="nil"/>
            </w:tcBorders>
            <w:noWrap/>
            <w:vAlign w:val="bottom"/>
            <w:hideMark/>
          </w:tcPr>
          <w:p w14:paraId="2D695E20"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2013</w:t>
            </w:r>
          </w:p>
        </w:tc>
        <w:tc>
          <w:tcPr>
            <w:tcW w:w="1240" w:type="dxa"/>
            <w:tcBorders>
              <w:top w:val="nil"/>
              <w:left w:val="nil"/>
              <w:bottom w:val="nil"/>
              <w:right w:val="nil"/>
            </w:tcBorders>
            <w:noWrap/>
            <w:vAlign w:val="bottom"/>
            <w:hideMark/>
          </w:tcPr>
          <w:p w14:paraId="3E4CAB8C"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19,301</w:t>
            </w:r>
          </w:p>
        </w:tc>
        <w:tc>
          <w:tcPr>
            <w:tcW w:w="2240" w:type="dxa"/>
            <w:tcBorders>
              <w:top w:val="nil"/>
              <w:left w:val="nil"/>
              <w:bottom w:val="nil"/>
              <w:right w:val="nil"/>
            </w:tcBorders>
            <w:noWrap/>
            <w:vAlign w:val="bottom"/>
            <w:hideMark/>
          </w:tcPr>
          <w:p w14:paraId="1E5DDCFF"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308.820.396.046</w:t>
            </w:r>
          </w:p>
        </w:tc>
        <w:tc>
          <w:tcPr>
            <w:tcW w:w="1240" w:type="dxa"/>
            <w:tcBorders>
              <w:top w:val="nil"/>
              <w:left w:val="nil"/>
              <w:bottom w:val="nil"/>
              <w:right w:val="nil"/>
            </w:tcBorders>
            <w:noWrap/>
            <w:vAlign w:val="bottom"/>
            <w:hideMark/>
          </w:tcPr>
          <w:p w14:paraId="11F3F2E3"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16,667</w:t>
            </w:r>
          </w:p>
        </w:tc>
        <w:tc>
          <w:tcPr>
            <w:tcW w:w="1240" w:type="dxa"/>
            <w:tcBorders>
              <w:top w:val="nil"/>
              <w:left w:val="nil"/>
              <w:bottom w:val="nil"/>
              <w:right w:val="nil"/>
            </w:tcBorders>
            <w:noWrap/>
            <w:vAlign w:val="bottom"/>
            <w:hideMark/>
          </w:tcPr>
          <w:p w14:paraId="56B9B68B"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16,656</w:t>
            </w:r>
          </w:p>
        </w:tc>
        <w:tc>
          <w:tcPr>
            <w:tcW w:w="1240" w:type="dxa"/>
            <w:tcBorders>
              <w:top w:val="nil"/>
              <w:left w:val="nil"/>
              <w:bottom w:val="nil"/>
              <w:right w:val="single" w:sz="4" w:space="0" w:color="auto"/>
            </w:tcBorders>
            <w:noWrap/>
            <w:vAlign w:val="bottom"/>
            <w:hideMark/>
          </w:tcPr>
          <w:p w14:paraId="2D9CE8A9"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16,596</w:t>
            </w:r>
          </w:p>
        </w:tc>
      </w:tr>
      <w:tr w:rsidR="005527F8" w14:paraId="22F9E172" w14:textId="77777777" w:rsidTr="005527F8">
        <w:trPr>
          <w:trHeight w:val="288"/>
        </w:trPr>
        <w:tc>
          <w:tcPr>
            <w:tcW w:w="1420" w:type="dxa"/>
            <w:tcBorders>
              <w:top w:val="nil"/>
              <w:left w:val="single" w:sz="4" w:space="0" w:color="auto"/>
              <w:bottom w:val="nil"/>
              <w:right w:val="nil"/>
            </w:tcBorders>
            <w:noWrap/>
            <w:vAlign w:val="bottom"/>
            <w:hideMark/>
          </w:tcPr>
          <w:p w14:paraId="5EEED511"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2014</w:t>
            </w:r>
          </w:p>
        </w:tc>
        <w:tc>
          <w:tcPr>
            <w:tcW w:w="1240" w:type="dxa"/>
            <w:tcBorders>
              <w:top w:val="nil"/>
              <w:left w:val="nil"/>
              <w:bottom w:val="nil"/>
              <w:right w:val="nil"/>
            </w:tcBorders>
            <w:noWrap/>
            <w:vAlign w:val="bottom"/>
            <w:hideMark/>
          </w:tcPr>
          <w:p w14:paraId="0B70D601"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29,776</w:t>
            </w:r>
          </w:p>
        </w:tc>
        <w:tc>
          <w:tcPr>
            <w:tcW w:w="2240" w:type="dxa"/>
            <w:tcBorders>
              <w:top w:val="nil"/>
              <w:left w:val="nil"/>
              <w:bottom w:val="nil"/>
              <w:right w:val="nil"/>
            </w:tcBorders>
            <w:noWrap/>
            <w:vAlign w:val="bottom"/>
            <w:hideMark/>
          </w:tcPr>
          <w:p w14:paraId="02CE9C44"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532.698.795.371</w:t>
            </w:r>
          </w:p>
        </w:tc>
        <w:tc>
          <w:tcPr>
            <w:tcW w:w="1240" w:type="dxa"/>
            <w:tcBorders>
              <w:top w:val="nil"/>
              <w:left w:val="nil"/>
              <w:bottom w:val="nil"/>
              <w:right w:val="nil"/>
            </w:tcBorders>
            <w:noWrap/>
            <w:vAlign w:val="bottom"/>
            <w:hideMark/>
          </w:tcPr>
          <w:p w14:paraId="4B4D7D26"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27,217</w:t>
            </w:r>
          </w:p>
        </w:tc>
        <w:tc>
          <w:tcPr>
            <w:tcW w:w="1240" w:type="dxa"/>
            <w:tcBorders>
              <w:top w:val="nil"/>
              <w:left w:val="nil"/>
              <w:bottom w:val="nil"/>
              <w:right w:val="nil"/>
            </w:tcBorders>
            <w:noWrap/>
            <w:vAlign w:val="bottom"/>
            <w:hideMark/>
          </w:tcPr>
          <w:p w14:paraId="76C6E73B"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27,162</w:t>
            </w:r>
          </w:p>
        </w:tc>
        <w:tc>
          <w:tcPr>
            <w:tcW w:w="1240" w:type="dxa"/>
            <w:tcBorders>
              <w:top w:val="nil"/>
              <w:left w:val="nil"/>
              <w:bottom w:val="nil"/>
              <w:right w:val="single" w:sz="4" w:space="0" w:color="auto"/>
            </w:tcBorders>
            <w:noWrap/>
            <w:vAlign w:val="bottom"/>
            <w:hideMark/>
          </w:tcPr>
          <w:p w14:paraId="47A1BDC4"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27,163</w:t>
            </w:r>
          </w:p>
        </w:tc>
      </w:tr>
      <w:tr w:rsidR="005527F8" w14:paraId="337A1FF7" w14:textId="77777777" w:rsidTr="005527F8">
        <w:trPr>
          <w:trHeight w:val="288"/>
        </w:trPr>
        <w:tc>
          <w:tcPr>
            <w:tcW w:w="1420" w:type="dxa"/>
            <w:tcBorders>
              <w:top w:val="nil"/>
              <w:left w:val="single" w:sz="4" w:space="0" w:color="auto"/>
              <w:bottom w:val="nil"/>
              <w:right w:val="nil"/>
            </w:tcBorders>
            <w:noWrap/>
            <w:vAlign w:val="bottom"/>
            <w:hideMark/>
          </w:tcPr>
          <w:p w14:paraId="674A92B3"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2015</w:t>
            </w:r>
          </w:p>
        </w:tc>
        <w:tc>
          <w:tcPr>
            <w:tcW w:w="1240" w:type="dxa"/>
            <w:tcBorders>
              <w:top w:val="nil"/>
              <w:left w:val="nil"/>
              <w:bottom w:val="nil"/>
              <w:right w:val="nil"/>
            </w:tcBorders>
            <w:noWrap/>
            <w:vAlign w:val="bottom"/>
            <w:hideMark/>
          </w:tcPr>
          <w:p w14:paraId="32EAD763"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17,891</w:t>
            </w:r>
          </w:p>
        </w:tc>
        <w:tc>
          <w:tcPr>
            <w:tcW w:w="2240" w:type="dxa"/>
            <w:tcBorders>
              <w:top w:val="nil"/>
              <w:left w:val="nil"/>
              <w:bottom w:val="nil"/>
              <w:right w:val="nil"/>
            </w:tcBorders>
            <w:noWrap/>
            <w:vAlign w:val="bottom"/>
            <w:hideMark/>
          </w:tcPr>
          <w:p w14:paraId="7655BC31"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594.779.249.342</w:t>
            </w:r>
          </w:p>
        </w:tc>
        <w:tc>
          <w:tcPr>
            <w:tcW w:w="1240" w:type="dxa"/>
            <w:tcBorders>
              <w:top w:val="nil"/>
              <w:left w:val="nil"/>
              <w:bottom w:val="nil"/>
              <w:right w:val="nil"/>
            </w:tcBorders>
            <w:noWrap/>
            <w:vAlign w:val="bottom"/>
            <w:hideMark/>
          </w:tcPr>
          <w:p w14:paraId="52218BBA"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8,826</w:t>
            </w:r>
          </w:p>
        </w:tc>
        <w:tc>
          <w:tcPr>
            <w:tcW w:w="1240" w:type="dxa"/>
            <w:tcBorders>
              <w:top w:val="nil"/>
              <w:left w:val="nil"/>
              <w:bottom w:val="nil"/>
              <w:right w:val="nil"/>
            </w:tcBorders>
            <w:noWrap/>
            <w:vAlign w:val="bottom"/>
            <w:hideMark/>
          </w:tcPr>
          <w:p w14:paraId="6BFA3602"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9,176</w:t>
            </w:r>
          </w:p>
        </w:tc>
        <w:tc>
          <w:tcPr>
            <w:tcW w:w="1240" w:type="dxa"/>
            <w:tcBorders>
              <w:top w:val="nil"/>
              <w:left w:val="nil"/>
              <w:bottom w:val="nil"/>
              <w:right w:val="single" w:sz="4" w:space="0" w:color="auto"/>
            </w:tcBorders>
            <w:noWrap/>
            <w:vAlign w:val="bottom"/>
            <w:hideMark/>
          </w:tcPr>
          <w:p w14:paraId="78F6E9F4"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9,519</w:t>
            </w:r>
          </w:p>
        </w:tc>
      </w:tr>
      <w:tr w:rsidR="005527F8" w14:paraId="14964541" w14:textId="77777777" w:rsidTr="005527F8">
        <w:trPr>
          <w:trHeight w:val="288"/>
        </w:trPr>
        <w:tc>
          <w:tcPr>
            <w:tcW w:w="1420" w:type="dxa"/>
            <w:tcBorders>
              <w:top w:val="nil"/>
              <w:left w:val="single" w:sz="4" w:space="0" w:color="auto"/>
              <w:bottom w:val="nil"/>
              <w:right w:val="nil"/>
            </w:tcBorders>
            <w:noWrap/>
            <w:vAlign w:val="bottom"/>
            <w:hideMark/>
          </w:tcPr>
          <w:p w14:paraId="6F2916FA"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2016</w:t>
            </w:r>
          </w:p>
        </w:tc>
        <w:tc>
          <w:tcPr>
            <w:tcW w:w="1240" w:type="dxa"/>
            <w:tcBorders>
              <w:top w:val="nil"/>
              <w:left w:val="nil"/>
              <w:bottom w:val="nil"/>
              <w:right w:val="nil"/>
            </w:tcBorders>
            <w:noWrap/>
            <w:vAlign w:val="bottom"/>
            <w:hideMark/>
          </w:tcPr>
          <w:p w14:paraId="16636344"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8,406</w:t>
            </w:r>
          </w:p>
        </w:tc>
        <w:tc>
          <w:tcPr>
            <w:tcW w:w="2240" w:type="dxa"/>
            <w:tcBorders>
              <w:top w:val="nil"/>
              <w:left w:val="nil"/>
              <w:bottom w:val="nil"/>
              <w:right w:val="nil"/>
            </w:tcBorders>
            <w:noWrap/>
            <w:vAlign w:val="bottom"/>
            <w:hideMark/>
          </w:tcPr>
          <w:p w14:paraId="7DE3F7A6"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196.348.790.317</w:t>
            </w:r>
          </w:p>
        </w:tc>
        <w:tc>
          <w:tcPr>
            <w:tcW w:w="1240" w:type="dxa"/>
            <w:tcBorders>
              <w:top w:val="nil"/>
              <w:left w:val="nil"/>
              <w:bottom w:val="nil"/>
              <w:right w:val="nil"/>
            </w:tcBorders>
            <w:noWrap/>
            <w:vAlign w:val="bottom"/>
            <w:hideMark/>
          </w:tcPr>
          <w:p w14:paraId="2DA0943E"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3,563</w:t>
            </w:r>
          </w:p>
        </w:tc>
        <w:tc>
          <w:tcPr>
            <w:tcW w:w="1240" w:type="dxa"/>
            <w:tcBorders>
              <w:top w:val="nil"/>
              <w:left w:val="nil"/>
              <w:bottom w:val="nil"/>
              <w:right w:val="nil"/>
            </w:tcBorders>
            <w:noWrap/>
            <w:vAlign w:val="bottom"/>
            <w:hideMark/>
          </w:tcPr>
          <w:p w14:paraId="0463C899"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3,584</w:t>
            </w:r>
          </w:p>
        </w:tc>
        <w:tc>
          <w:tcPr>
            <w:tcW w:w="1240" w:type="dxa"/>
            <w:tcBorders>
              <w:top w:val="nil"/>
              <w:left w:val="nil"/>
              <w:bottom w:val="nil"/>
              <w:right w:val="single" w:sz="4" w:space="0" w:color="auto"/>
            </w:tcBorders>
            <w:noWrap/>
            <w:vAlign w:val="bottom"/>
            <w:hideMark/>
          </w:tcPr>
          <w:p w14:paraId="0313404C"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3,599</w:t>
            </w:r>
          </w:p>
        </w:tc>
      </w:tr>
      <w:tr w:rsidR="005527F8" w14:paraId="0A3774AA" w14:textId="77777777" w:rsidTr="005527F8">
        <w:trPr>
          <w:trHeight w:val="288"/>
        </w:trPr>
        <w:tc>
          <w:tcPr>
            <w:tcW w:w="1420" w:type="dxa"/>
            <w:tcBorders>
              <w:top w:val="nil"/>
              <w:left w:val="single" w:sz="4" w:space="0" w:color="auto"/>
              <w:bottom w:val="nil"/>
              <w:right w:val="nil"/>
            </w:tcBorders>
            <w:noWrap/>
            <w:vAlign w:val="bottom"/>
            <w:hideMark/>
          </w:tcPr>
          <w:p w14:paraId="63EB9772"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2017</w:t>
            </w:r>
          </w:p>
        </w:tc>
        <w:tc>
          <w:tcPr>
            <w:tcW w:w="1240" w:type="dxa"/>
            <w:tcBorders>
              <w:top w:val="nil"/>
              <w:left w:val="nil"/>
              <w:bottom w:val="nil"/>
              <w:right w:val="nil"/>
            </w:tcBorders>
            <w:noWrap/>
            <w:vAlign w:val="bottom"/>
            <w:hideMark/>
          </w:tcPr>
          <w:p w14:paraId="601DD02C"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10,146</w:t>
            </w:r>
          </w:p>
        </w:tc>
        <w:tc>
          <w:tcPr>
            <w:tcW w:w="2240" w:type="dxa"/>
            <w:tcBorders>
              <w:top w:val="nil"/>
              <w:left w:val="nil"/>
              <w:bottom w:val="nil"/>
              <w:right w:val="nil"/>
            </w:tcBorders>
            <w:noWrap/>
            <w:vAlign w:val="bottom"/>
            <w:hideMark/>
          </w:tcPr>
          <w:p w14:paraId="72C80711"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323.570.862.277</w:t>
            </w:r>
          </w:p>
        </w:tc>
        <w:tc>
          <w:tcPr>
            <w:tcW w:w="1240" w:type="dxa"/>
            <w:tcBorders>
              <w:top w:val="nil"/>
              <w:left w:val="nil"/>
              <w:bottom w:val="nil"/>
              <w:right w:val="nil"/>
            </w:tcBorders>
            <w:noWrap/>
            <w:vAlign w:val="bottom"/>
            <w:hideMark/>
          </w:tcPr>
          <w:p w14:paraId="7EC40445"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4,577</w:t>
            </w:r>
          </w:p>
        </w:tc>
        <w:tc>
          <w:tcPr>
            <w:tcW w:w="1240" w:type="dxa"/>
            <w:tcBorders>
              <w:top w:val="nil"/>
              <w:left w:val="nil"/>
              <w:bottom w:val="nil"/>
              <w:right w:val="nil"/>
            </w:tcBorders>
            <w:noWrap/>
            <w:vAlign w:val="bottom"/>
            <w:hideMark/>
          </w:tcPr>
          <w:p w14:paraId="40E4B6E3"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4,603</w:t>
            </w:r>
          </w:p>
        </w:tc>
        <w:tc>
          <w:tcPr>
            <w:tcW w:w="1240" w:type="dxa"/>
            <w:tcBorders>
              <w:top w:val="nil"/>
              <w:left w:val="nil"/>
              <w:bottom w:val="nil"/>
              <w:right w:val="single" w:sz="4" w:space="0" w:color="auto"/>
            </w:tcBorders>
            <w:noWrap/>
            <w:vAlign w:val="bottom"/>
            <w:hideMark/>
          </w:tcPr>
          <w:p w14:paraId="21490AFE"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4,667</w:t>
            </w:r>
          </w:p>
        </w:tc>
      </w:tr>
      <w:tr w:rsidR="005527F8" w14:paraId="42113D5B" w14:textId="77777777" w:rsidTr="005527F8">
        <w:trPr>
          <w:trHeight w:val="288"/>
        </w:trPr>
        <w:tc>
          <w:tcPr>
            <w:tcW w:w="1420" w:type="dxa"/>
            <w:tcBorders>
              <w:top w:val="nil"/>
              <w:left w:val="single" w:sz="4" w:space="0" w:color="auto"/>
              <w:bottom w:val="single" w:sz="4" w:space="0" w:color="auto"/>
              <w:right w:val="nil"/>
            </w:tcBorders>
            <w:shd w:val="clear" w:color="000000" w:fill="EBF1DE"/>
            <w:noWrap/>
            <w:vAlign w:val="bottom"/>
            <w:hideMark/>
          </w:tcPr>
          <w:p w14:paraId="0C834EB1" w14:textId="77777777" w:rsidR="005527F8" w:rsidRDefault="005527F8">
            <w:pPr>
              <w:jc w:val="center"/>
              <w:rPr>
                <w:rFonts w:ascii="Calibri" w:hAnsi="Calibri" w:cs="Calibri"/>
                <w:color w:val="000000"/>
                <w:sz w:val="22"/>
                <w:szCs w:val="22"/>
              </w:rPr>
            </w:pPr>
            <w:proofErr w:type="gramStart"/>
            <w:r>
              <w:rPr>
                <w:rFonts w:ascii="Calibri" w:hAnsi="Calibri" w:cs="Calibri"/>
                <w:color w:val="000000"/>
                <w:sz w:val="22"/>
                <w:szCs w:val="22"/>
              </w:rPr>
              <w:t>Total</w:t>
            </w:r>
            <w:proofErr w:type="gramEnd"/>
            <w:r>
              <w:rPr>
                <w:rFonts w:ascii="Calibri" w:hAnsi="Calibri" w:cs="Calibri"/>
                <w:color w:val="000000"/>
                <w:sz w:val="22"/>
                <w:szCs w:val="22"/>
              </w:rPr>
              <w:t xml:space="preserve"> general</w:t>
            </w:r>
          </w:p>
        </w:tc>
        <w:tc>
          <w:tcPr>
            <w:tcW w:w="1240" w:type="dxa"/>
            <w:tcBorders>
              <w:top w:val="nil"/>
              <w:left w:val="nil"/>
              <w:bottom w:val="single" w:sz="4" w:space="0" w:color="auto"/>
              <w:right w:val="nil"/>
            </w:tcBorders>
            <w:shd w:val="clear" w:color="000000" w:fill="EBF1DE"/>
            <w:noWrap/>
            <w:vAlign w:val="bottom"/>
            <w:hideMark/>
          </w:tcPr>
          <w:p w14:paraId="246E80DE"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221,457</w:t>
            </w:r>
          </w:p>
        </w:tc>
        <w:tc>
          <w:tcPr>
            <w:tcW w:w="2240" w:type="dxa"/>
            <w:tcBorders>
              <w:top w:val="nil"/>
              <w:left w:val="nil"/>
              <w:bottom w:val="single" w:sz="4" w:space="0" w:color="auto"/>
              <w:right w:val="nil"/>
            </w:tcBorders>
            <w:shd w:val="clear" w:color="000000" w:fill="EBF1DE"/>
            <w:noWrap/>
            <w:vAlign w:val="bottom"/>
            <w:hideMark/>
          </w:tcPr>
          <w:p w14:paraId="3E5290B3"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 $ 3.197.276.687.248</w:t>
            </w:r>
          </w:p>
        </w:tc>
        <w:tc>
          <w:tcPr>
            <w:tcW w:w="1240" w:type="dxa"/>
            <w:tcBorders>
              <w:top w:val="nil"/>
              <w:left w:val="nil"/>
              <w:bottom w:val="single" w:sz="4" w:space="0" w:color="auto"/>
              <w:right w:val="nil"/>
            </w:tcBorders>
            <w:shd w:val="clear" w:color="000000" w:fill="EBF1DE"/>
            <w:noWrap/>
            <w:vAlign w:val="bottom"/>
            <w:hideMark/>
          </w:tcPr>
          <w:p w14:paraId="00860AE2"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174,477</w:t>
            </w:r>
          </w:p>
        </w:tc>
        <w:tc>
          <w:tcPr>
            <w:tcW w:w="1240" w:type="dxa"/>
            <w:tcBorders>
              <w:top w:val="nil"/>
              <w:left w:val="nil"/>
              <w:bottom w:val="single" w:sz="4" w:space="0" w:color="auto"/>
              <w:right w:val="nil"/>
            </w:tcBorders>
            <w:shd w:val="clear" w:color="000000" w:fill="EBF1DE"/>
            <w:noWrap/>
            <w:vAlign w:val="bottom"/>
            <w:hideMark/>
          </w:tcPr>
          <w:p w14:paraId="315C2A23"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174,811</w:t>
            </w:r>
          </w:p>
        </w:tc>
        <w:tc>
          <w:tcPr>
            <w:tcW w:w="1240" w:type="dxa"/>
            <w:tcBorders>
              <w:top w:val="nil"/>
              <w:left w:val="nil"/>
              <w:bottom w:val="single" w:sz="4" w:space="0" w:color="auto"/>
              <w:right w:val="single" w:sz="4" w:space="0" w:color="auto"/>
            </w:tcBorders>
            <w:shd w:val="clear" w:color="000000" w:fill="EBF1DE"/>
            <w:noWrap/>
            <w:vAlign w:val="bottom"/>
            <w:hideMark/>
          </w:tcPr>
          <w:p w14:paraId="37C956BC" w14:textId="77777777" w:rsidR="005527F8" w:rsidRDefault="005527F8">
            <w:pPr>
              <w:jc w:val="center"/>
              <w:rPr>
                <w:rFonts w:ascii="Calibri" w:hAnsi="Calibri" w:cs="Calibri"/>
                <w:color w:val="000000"/>
                <w:sz w:val="22"/>
                <w:szCs w:val="22"/>
              </w:rPr>
            </w:pPr>
            <w:r>
              <w:rPr>
                <w:rFonts w:ascii="Calibri" w:hAnsi="Calibri" w:cs="Calibri"/>
                <w:color w:val="000000"/>
                <w:sz w:val="22"/>
                <w:szCs w:val="22"/>
              </w:rPr>
              <w:t>175,187</w:t>
            </w:r>
          </w:p>
        </w:tc>
      </w:tr>
    </w:tbl>
    <w:p w14:paraId="78AE8CC5" w14:textId="680C58E6" w:rsidR="0029239B" w:rsidRPr="00043608" w:rsidRDefault="0067751F" w:rsidP="000B2DD4">
      <w:pPr>
        <w:jc w:val="right"/>
        <w:rPr>
          <w:rFonts w:ascii="Arial" w:hAnsi="Arial" w:cs="Arial"/>
          <w:sz w:val="22"/>
          <w:szCs w:val="22"/>
          <w:highlight w:val="yellow"/>
          <w:lang w:val="es-ES_tradnl"/>
        </w:rPr>
      </w:pPr>
      <w:r w:rsidRPr="000B2DD4">
        <w:rPr>
          <w:rFonts w:ascii="Arial" w:hAnsi="Arial" w:cs="Arial"/>
          <w:sz w:val="22"/>
          <w:szCs w:val="22"/>
          <w:lang w:val="es-ES_tradnl"/>
        </w:rPr>
        <w:t xml:space="preserve">Fuente. </w:t>
      </w:r>
      <w:r w:rsidR="00D11078" w:rsidRPr="000B2DD4">
        <w:rPr>
          <w:rFonts w:ascii="Arial" w:hAnsi="Arial" w:cs="Arial"/>
          <w:sz w:val="22"/>
          <w:szCs w:val="22"/>
          <w:lang w:val="es-ES_tradnl"/>
        </w:rPr>
        <w:t xml:space="preserve">Elaboración propia a partir del maestro de proyectos </w:t>
      </w:r>
      <w:r w:rsidR="000B2DD4" w:rsidRPr="005527F8">
        <w:rPr>
          <w:rFonts w:ascii="Arial" w:hAnsi="Arial" w:cs="Arial"/>
          <w:sz w:val="22"/>
          <w:szCs w:val="22"/>
          <w:lang w:val="es-ES_tradnl"/>
        </w:rPr>
        <w:t>enviado por BAC</w:t>
      </w:r>
      <w:r w:rsidR="001052B6" w:rsidRPr="005527F8">
        <w:rPr>
          <w:rFonts w:ascii="Arial" w:hAnsi="Arial" w:cs="Arial"/>
          <w:sz w:val="22"/>
          <w:szCs w:val="22"/>
          <w:lang w:val="es-ES_tradnl"/>
        </w:rPr>
        <w:t xml:space="preserve"> corte </w:t>
      </w:r>
      <w:proofErr w:type="gramStart"/>
      <w:r w:rsidR="005527F8" w:rsidRPr="005527F8">
        <w:rPr>
          <w:rFonts w:ascii="Arial" w:hAnsi="Arial" w:cs="Arial"/>
          <w:sz w:val="22"/>
          <w:szCs w:val="22"/>
          <w:lang w:val="es-ES_tradnl"/>
        </w:rPr>
        <w:t>Diciembre</w:t>
      </w:r>
      <w:proofErr w:type="gramEnd"/>
      <w:r w:rsidR="005527F8" w:rsidRPr="005527F8">
        <w:rPr>
          <w:rFonts w:ascii="Arial" w:hAnsi="Arial" w:cs="Arial"/>
          <w:sz w:val="22"/>
          <w:szCs w:val="22"/>
          <w:lang w:val="es-ES_tradnl"/>
        </w:rPr>
        <w:t xml:space="preserve"> </w:t>
      </w:r>
      <w:r w:rsidR="001052B6" w:rsidRPr="005527F8">
        <w:rPr>
          <w:rFonts w:ascii="Arial" w:hAnsi="Arial" w:cs="Arial"/>
          <w:sz w:val="22"/>
          <w:szCs w:val="22"/>
          <w:lang w:val="es-ES_tradnl"/>
        </w:rPr>
        <w:t>202</w:t>
      </w:r>
      <w:r w:rsidR="005527F8" w:rsidRPr="005527F8">
        <w:rPr>
          <w:rFonts w:ascii="Arial" w:hAnsi="Arial" w:cs="Arial"/>
          <w:sz w:val="22"/>
          <w:szCs w:val="22"/>
          <w:lang w:val="es-ES_tradnl"/>
        </w:rPr>
        <w:t>5</w:t>
      </w:r>
    </w:p>
    <w:p w14:paraId="10F96A7C" w14:textId="4776EC70" w:rsidR="00534B2F" w:rsidRDefault="00534B2F" w:rsidP="00BD0825">
      <w:pPr>
        <w:jc w:val="both"/>
        <w:rPr>
          <w:rFonts w:ascii="Arial" w:hAnsi="Arial" w:cs="Arial"/>
          <w:sz w:val="22"/>
          <w:szCs w:val="22"/>
          <w:lang w:val="es-ES_tradnl"/>
        </w:rPr>
      </w:pPr>
    </w:p>
    <w:p w14:paraId="4364B4AF" w14:textId="3AF8DBAB" w:rsidR="000C3169" w:rsidRPr="00CD26F2" w:rsidRDefault="00AD3771" w:rsidP="005F760B">
      <w:pPr>
        <w:pStyle w:val="Ttulo1"/>
        <w:numPr>
          <w:ilvl w:val="1"/>
          <w:numId w:val="7"/>
        </w:numPr>
        <w:spacing w:before="0"/>
        <w:jc w:val="both"/>
        <w:rPr>
          <w:rFonts w:ascii="Arial" w:hAnsi="Arial" w:cs="Arial"/>
          <w:b/>
          <w:bCs/>
          <w:color w:val="385623" w:themeColor="accent6" w:themeShade="80"/>
          <w:sz w:val="22"/>
          <w:szCs w:val="22"/>
          <w:lang w:val="es-ES_tradnl"/>
        </w:rPr>
      </w:pPr>
      <w:bookmarkStart w:id="16" w:name="_Toc225874782"/>
      <w:r w:rsidRPr="00CD26F2">
        <w:rPr>
          <w:rFonts w:ascii="Arial" w:hAnsi="Arial" w:cs="Arial"/>
          <w:b/>
          <w:bCs/>
          <w:color w:val="385623" w:themeColor="accent6" w:themeShade="80"/>
          <w:sz w:val="22"/>
          <w:szCs w:val="22"/>
          <w:lang w:val="es-ES_tradnl"/>
        </w:rPr>
        <w:t xml:space="preserve">Subsidios de Vivienda </w:t>
      </w:r>
      <w:r w:rsidR="002248CD" w:rsidRPr="00CD26F2">
        <w:rPr>
          <w:rFonts w:ascii="Arial" w:hAnsi="Arial" w:cs="Arial"/>
          <w:b/>
          <w:bCs/>
          <w:color w:val="385623" w:themeColor="accent6" w:themeShade="80"/>
          <w:sz w:val="22"/>
          <w:szCs w:val="22"/>
          <w:lang w:val="es-ES_tradnl"/>
        </w:rPr>
        <w:t>R</w:t>
      </w:r>
      <w:r w:rsidRPr="00CD26F2">
        <w:rPr>
          <w:rFonts w:ascii="Arial" w:hAnsi="Arial" w:cs="Arial"/>
          <w:b/>
          <w:bCs/>
          <w:color w:val="385623" w:themeColor="accent6" w:themeShade="80"/>
          <w:sz w:val="22"/>
          <w:szCs w:val="22"/>
          <w:lang w:val="es-ES_tradnl"/>
        </w:rPr>
        <w:t xml:space="preserve">ural </w:t>
      </w:r>
      <w:r w:rsidR="002248CD" w:rsidRPr="00CD26F2">
        <w:rPr>
          <w:rFonts w:ascii="Arial" w:hAnsi="Arial" w:cs="Arial"/>
          <w:b/>
          <w:bCs/>
          <w:color w:val="385623" w:themeColor="accent6" w:themeShade="80"/>
          <w:sz w:val="22"/>
          <w:szCs w:val="22"/>
          <w:lang w:val="es-ES_tradnl"/>
        </w:rPr>
        <w:t>O</w:t>
      </w:r>
      <w:r w:rsidRPr="00CD26F2">
        <w:rPr>
          <w:rFonts w:ascii="Arial" w:hAnsi="Arial" w:cs="Arial"/>
          <w:b/>
          <w:bCs/>
          <w:color w:val="385623" w:themeColor="accent6" w:themeShade="80"/>
          <w:sz w:val="22"/>
          <w:szCs w:val="22"/>
          <w:lang w:val="es-ES_tradnl"/>
        </w:rPr>
        <w:t>torgados</w:t>
      </w:r>
      <w:r w:rsidR="008954A1" w:rsidRPr="00CD26F2">
        <w:rPr>
          <w:rFonts w:ascii="Arial" w:hAnsi="Arial" w:cs="Arial"/>
          <w:b/>
          <w:bCs/>
          <w:color w:val="385623" w:themeColor="accent6" w:themeShade="80"/>
          <w:sz w:val="22"/>
          <w:szCs w:val="22"/>
          <w:lang w:val="es-ES_tradnl"/>
        </w:rPr>
        <w:t xml:space="preserve"> del 2000 al 2017</w:t>
      </w:r>
      <w:bookmarkEnd w:id="16"/>
    </w:p>
    <w:p w14:paraId="170BEFCC" w14:textId="77777777" w:rsidR="009C25AF" w:rsidRDefault="009C25AF" w:rsidP="00CB24C7">
      <w:pPr>
        <w:jc w:val="both"/>
        <w:rPr>
          <w:rFonts w:ascii="Arial" w:hAnsi="Arial" w:cs="Arial"/>
          <w:sz w:val="22"/>
          <w:szCs w:val="22"/>
          <w:lang w:val="es-ES_tradnl"/>
        </w:rPr>
      </w:pPr>
    </w:p>
    <w:p w14:paraId="6A878B30" w14:textId="2EC44124" w:rsidR="00933767" w:rsidRPr="00AF3E75" w:rsidRDefault="00AF3E75" w:rsidP="005F760B">
      <w:pPr>
        <w:pStyle w:val="Prrafodelista"/>
        <w:numPr>
          <w:ilvl w:val="2"/>
          <w:numId w:val="7"/>
        </w:numPr>
        <w:jc w:val="both"/>
        <w:rPr>
          <w:rFonts w:ascii="Arial" w:hAnsi="Arial" w:cs="Arial"/>
          <w:sz w:val="22"/>
          <w:szCs w:val="22"/>
          <w:lang w:val="es-ES_tradnl"/>
        </w:rPr>
      </w:pPr>
      <w:r>
        <w:rPr>
          <w:rFonts w:ascii="Arial" w:hAnsi="Arial" w:cs="Arial"/>
          <w:sz w:val="22"/>
          <w:szCs w:val="22"/>
          <w:lang w:val="es-ES_tradnl"/>
        </w:rPr>
        <w:t xml:space="preserve">Subsidios Otorgados en el Periodo 2000 a 2010. </w:t>
      </w:r>
    </w:p>
    <w:p w14:paraId="0E0226E4" w14:textId="77777777" w:rsidR="00265CE1" w:rsidRDefault="00265CE1" w:rsidP="00CB24C7">
      <w:pPr>
        <w:jc w:val="both"/>
        <w:rPr>
          <w:rFonts w:ascii="Arial" w:hAnsi="Arial" w:cs="Arial"/>
          <w:sz w:val="22"/>
          <w:szCs w:val="22"/>
          <w:lang w:val="es-ES_tradnl"/>
        </w:rPr>
      </w:pPr>
    </w:p>
    <w:p w14:paraId="06DD7435" w14:textId="77777777" w:rsidR="00265CE1" w:rsidRDefault="00265CE1" w:rsidP="00265CE1">
      <w:pPr>
        <w:jc w:val="both"/>
        <w:rPr>
          <w:rFonts w:ascii="Arial" w:hAnsi="Arial" w:cs="Arial"/>
          <w:sz w:val="22"/>
          <w:szCs w:val="22"/>
        </w:rPr>
      </w:pPr>
      <w:r w:rsidRPr="00005D8E">
        <w:rPr>
          <w:rFonts w:ascii="Arial" w:hAnsi="Arial" w:cs="Arial"/>
          <w:sz w:val="22"/>
          <w:szCs w:val="22"/>
          <w:lang w:val="es-ES_tradnl"/>
        </w:rPr>
        <w:t>De conformidad con lo establecido en los Decretos 1133 de 2000, 1042 de 2003, 973 de 2005 (modificado por los Decretos 4427 de 2005, 2299 de 2006, 3200 de 2006 y 4545 de 2006)</w:t>
      </w:r>
      <w:r>
        <w:rPr>
          <w:rFonts w:ascii="Arial" w:hAnsi="Arial" w:cs="Arial"/>
          <w:sz w:val="22"/>
          <w:szCs w:val="22"/>
          <w:lang w:val="es-ES_tradnl"/>
        </w:rPr>
        <w:t xml:space="preserve"> </w:t>
      </w:r>
      <w:r w:rsidRPr="0016229F">
        <w:rPr>
          <w:rFonts w:ascii="Arial" w:hAnsi="Arial" w:cs="Arial"/>
          <w:sz w:val="22"/>
          <w:szCs w:val="22"/>
        </w:rPr>
        <w:t>los recursos</w:t>
      </w:r>
      <w:r>
        <w:rPr>
          <w:rFonts w:ascii="Arial" w:hAnsi="Arial" w:cs="Arial"/>
          <w:sz w:val="22"/>
          <w:szCs w:val="22"/>
        </w:rPr>
        <w:t xml:space="preserve"> destinados a la materialización de las soluciones de vivienda,</w:t>
      </w:r>
      <w:r w:rsidRPr="0016229F">
        <w:rPr>
          <w:rFonts w:ascii="Arial" w:hAnsi="Arial" w:cs="Arial"/>
          <w:sz w:val="22"/>
          <w:szCs w:val="22"/>
        </w:rPr>
        <w:t xml:space="preserve"> eran entregados directamente por el Banco a las entidades oferentes (principalmente </w:t>
      </w:r>
      <w:r>
        <w:rPr>
          <w:rFonts w:ascii="Arial" w:hAnsi="Arial" w:cs="Arial"/>
          <w:sz w:val="22"/>
          <w:szCs w:val="22"/>
        </w:rPr>
        <w:t xml:space="preserve">ente territoriales como </w:t>
      </w:r>
      <w:r w:rsidRPr="0016229F">
        <w:rPr>
          <w:rFonts w:ascii="Arial" w:hAnsi="Arial" w:cs="Arial"/>
          <w:sz w:val="22"/>
          <w:szCs w:val="22"/>
        </w:rPr>
        <w:t xml:space="preserve">alcaldías municipales), quienes formulaban los proyectos, contrataban al constructor de las obras y el trabajo social, siendo las responsables de ejecutar los recursos del subsidio y la contrapartida de dichos proyectos. </w:t>
      </w:r>
    </w:p>
    <w:p w14:paraId="78BFC92D" w14:textId="77777777" w:rsidR="00265CE1" w:rsidRDefault="00265CE1" w:rsidP="00265CE1">
      <w:pPr>
        <w:jc w:val="both"/>
        <w:rPr>
          <w:rFonts w:ascii="Arial" w:hAnsi="Arial" w:cs="Arial"/>
          <w:sz w:val="22"/>
          <w:szCs w:val="22"/>
        </w:rPr>
      </w:pPr>
    </w:p>
    <w:p w14:paraId="50A9208B" w14:textId="08A19B16" w:rsidR="00265CE1" w:rsidRDefault="00265CE1" w:rsidP="00265CE1">
      <w:pPr>
        <w:jc w:val="both"/>
        <w:rPr>
          <w:rFonts w:ascii="Arial" w:hAnsi="Arial" w:cs="Arial"/>
          <w:sz w:val="22"/>
          <w:szCs w:val="22"/>
        </w:rPr>
      </w:pPr>
      <w:r w:rsidRPr="0016229F">
        <w:rPr>
          <w:rFonts w:ascii="Arial" w:hAnsi="Arial" w:cs="Arial"/>
          <w:sz w:val="22"/>
          <w:szCs w:val="22"/>
        </w:rPr>
        <w:t xml:space="preserve">En este modelo, el Banco Agrario de Colombia </w:t>
      </w:r>
      <w:r>
        <w:rPr>
          <w:rFonts w:ascii="Arial" w:hAnsi="Arial" w:cs="Arial"/>
          <w:sz w:val="22"/>
          <w:szCs w:val="22"/>
        </w:rPr>
        <w:t xml:space="preserve">desempeñó el rol de interventor </w:t>
      </w:r>
      <w:r w:rsidRPr="0016229F">
        <w:rPr>
          <w:rFonts w:ascii="Arial" w:hAnsi="Arial" w:cs="Arial"/>
          <w:sz w:val="22"/>
          <w:szCs w:val="22"/>
        </w:rPr>
        <w:t>mediante la contratación de profesionales en la Gerencia de Vivienda.</w:t>
      </w:r>
      <w:r w:rsidR="007137A7">
        <w:rPr>
          <w:rFonts w:ascii="Arial" w:hAnsi="Arial" w:cs="Arial"/>
          <w:sz w:val="22"/>
          <w:szCs w:val="22"/>
        </w:rPr>
        <w:t xml:space="preserve">  </w:t>
      </w:r>
      <w:r>
        <w:rPr>
          <w:rFonts w:ascii="Arial" w:hAnsi="Arial" w:cs="Arial"/>
          <w:sz w:val="22"/>
          <w:szCs w:val="22"/>
        </w:rPr>
        <w:t xml:space="preserve">A lo largo del </w:t>
      </w:r>
      <w:r w:rsidR="006635AD">
        <w:rPr>
          <w:rFonts w:ascii="Arial" w:hAnsi="Arial" w:cs="Arial"/>
          <w:sz w:val="22"/>
          <w:szCs w:val="22"/>
        </w:rPr>
        <w:t>periodo objeto de reporte,</w:t>
      </w:r>
      <w:r>
        <w:rPr>
          <w:rFonts w:ascii="Arial" w:hAnsi="Arial" w:cs="Arial"/>
          <w:sz w:val="22"/>
          <w:szCs w:val="22"/>
        </w:rPr>
        <w:t xml:space="preserve"> no se evidencia modificación en los datos reportados </w:t>
      </w:r>
      <w:r w:rsidR="00BC2BB2">
        <w:rPr>
          <w:rFonts w:ascii="Arial" w:hAnsi="Arial" w:cs="Arial"/>
          <w:sz w:val="22"/>
          <w:szCs w:val="22"/>
        </w:rPr>
        <w:t>en el informe anterior</w:t>
      </w:r>
      <w:r>
        <w:rPr>
          <w:rFonts w:ascii="Arial" w:hAnsi="Arial" w:cs="Arial"/>
          <w:sz w:val="22"/>
          <w:szCs w:val="22"/>
        </w:rPr>
        <w:t xml:space="preserve">, manteniéndose que </w:t>
      </w:r>
      <w:r w:rsidRPr="00DC0954">
        <w:rPr>
          <w:rFonts w:ascii="Arial" w:hAnsi="Arial" w:cs="Arial"/>
          <w:sz w:val="22"/>
          <w:szCs w:val="22"/>
        </w:rPr>
        <w:t xml:space="preserve">en la vigencias 2000-2010 </w:t>
      </w:r>
      <w:r>
        <w:rPr>
          <w:rFonts w:ascii="Arial" w:hAnsi="Arial" w:cs="Arial"/>
          <w:sz w:val="22"/>
          <w:szCs w:val="22"/>
        </w:rPr>
        <w:t xml:space="preserve">el Banco Agrario de Colombia </w:t>
      </w:r>
      <w:r w:rsidRPr="00DC0954">
        <w:rPr>
          <w:rFonts w:ascii="Arial" w:hAnsi="Arial" w:cs="Arial"/>
          <w:sz w:val="22"/>
          <w:szCs w:val="22"/>
        </w:rPr>
        <w:t xml:space="preserve">otorgó 113.797 SFVISR, de los cuales se retiraron del programa 8.099 beneficiarios en el marco de lo normado para el programa VISR, y se materializaron en soluciones de vivienda 93.383 SFVISR; por tanto, </w:t>
      </w:r>
      <w:r w:rsidR="001C1451">
        <w:rPr>
          <w:rFonts w:ascii="Arial" w:hAnsi="Arial" w:cs="Arial"/>
          <w:sz w:val="22"/>
          <w:szCs w:val="22"/>
        </w:rPr>
        <w:t xml:space="preserve">en </w:t>
      </w:r>
      <w:r w:rsidRPr="00DC0954">
        <w:rPr>
          <w:rFonts w:ascii="Arial" w:hAnsi="Arial" w:cs="Arial"/>
          <w:sz w:val="22"/>
          <w:szCs w:val="22"/>
        </w:rPr>
        <w:t xml:space="preserve">este periodo </w:t>
      </w:r>
      <w:r w:rsidR="001C1451">
        <w:rPr>
          <w:rFonts w:ascii="Arial" w:hAnsi="Arial" w:cs="Arial"/>
          <w:sz w:val="22"/>
          <w:szCs w:val="22"/>
        </w:rPr>
        <w:t xml:space="preserve">se siguen registrando </w:t>
      </w:r>
      <w:r w:rsidR="001C1451" w:rsidRPr="00731825">
        <w:rPr>
          <w:rFonts w:ascii="Arial" w:hAnsi="Arial" w:cs="Arial"/>
          <w:b/>
          <w:bCs/>
          <w:sz w:val="22"/>
          <w:szCs w:val="22"/>
        </w:rPr>
        <w:t>1</w:t>
      </w:r>
      <w:r w:rsidRPr="00731825">
        <w:rPr>
          <w:rFonts w:ascii="Arial" w:hAnsi="Arial" w:cs="Arial"/>
          <w:b/>
          <w:bCs/>
          <w:sz w:val="22"/>
          <w:szCs w:val="22"/>
        </w:rPr>
        <w:t xml:space="preserve">2.315 SFVISR no materializados </w:t>
      </w:r>
      <w:r w:rsidRPr="00DC0954">
        <w:rPr>
          <w:rFonts w:ascii="Arial" w:hAnsi="Arial" w:cs="Arial"/>
          <w:sz w:val="22"/>
          <w:szCs w:val="22"/>
        </w:rPr>
        <w:t>conforme base de información que reposa en el archivo del Banco</w:t>
      </w:r>
      <w:r>
        <w:rPr>
          <w:rFonts w:ascii="Arial" w:hAnsi="Arial" w:cs="Arial"/>
          <w:sz w:val="22"/>
          <w:szCs w:val="22"/>
        </w:rPr>
        <w:t xml:space="preserve">, </w:t>
      </w:r>
      <w:r w:rsidR="004527F8">
        <w:rPr>
          <w:rFonts w:ascii="Arial" w:hAnsi="Arial" w:cs="Arial"/>
          <w:sz w:val="22"/>
          <w:szCs w:val="22"/>
        </w:rPr>
        <w:t>así</w:t>
      </w:r>
      <w:r>
        <w:rPr>
          <w:rFonts w:ascii="Arial" w:hAnsi="Arial" w:cs="Arial"/>
          <w:sz w:val="22"/>
          <w:szCs w:val="22"/>
        </w:rPr>
        <w:t xml:space="preserve">: </w:t>
      </w:r>
    </w:p>
    <w:p w14:paraId="03525874" w14:textId="77777777" w:rsidR="00265CE1" w:rsidRDefault="00265CE1" w:rsidP="00265CE1">
      <w:pPr>
        <w:jc w:val="both"/>
        <w:rPr>
          <w:rFonts w:ascii="Arial" w:hAnsi="Arial" w:cs="Arial"/>
          <w:sz w:val="22"/>
          <w:szCs w:val="22"/>
        </w:rPr>
      </w:pPr>
    </w:p>
    <w:p w14:paraId="2C943F7B" w14:textId="77777777" w:rsidR="00265CE1" w:rsidRDefault="00265CE1" w:rsidP="00265CE1">
      <w:pPr>
        <w:jc w:val="center"/>
        <w:rPr>
          <w:rFonts w:ascii="Arial" w:hAnsi="Arial" w:cs="Arial"/>
          <w:color w:val="000000" w:themeColor="text1"/>
          <w:sz w:val="22"/>
          <w:szCs w:val="22"/>
        </w:rPr>
      </w:pPr>
      <w:r w:rsidRPr="00592232">
        <w:rPr>
          <w:rFonts w:ascii="Arial" w:hAnsi="Arial" w:cs="Arial"/>
          <w:i/>
          <w:iCs/>
          <w:sz w:val="22"/>
          <w:szCs w:val="22"/>
        </w:rPr>
        <w:t>Estado de ejecución SFVISR 2000-2010</w:t>
      </w:r>
      <w:bookmarkStart w:id="17" w:name="_Toc102494726"/>
      <w:r w:rsidRPr="00265CE1">
        <w:rPr>
          <w:rFonts w:ascii="Arial" w:hAnsi="Arial" w:cs="Arial"/>
          <w:color w:val="000000" w:themeColor="text1"/>
          <w:sz w:val="22"/>
          <w:szCs w:val="22"/>
        </w:rPr>
        <w:t xml:space="preserve"> </w:t>
      </w:r>
    </w:p>
    <w:p w14:paraId="09181975" w14:textId="24A1ECE9" w:rsidR="00265CE1" w:rsidRDefault="00265CE1" w:rsidP="00265CE1">
      <w:pPr>
        <w:jc w:val="center"/>
        <w:rPr>
          <w:rFonts w:ascii="Arial" w:hAnsi="Arial" w:cs="Arial"/>
          <w:sz w:val="22"/>
          <w:szCs w:val="22"/>
        </w:rPr>
      </w:pPr>
      <w:r w:rsidRPr="00CB24C7">
        <w:rPr>
          <w:rFonts w:ascii="Arial" w:hAnsi="Arial" w:cs="Arial"/>
          <w:color w:val="000000" w:themeColor="text1"/>
          <w:sz w:val="22"/>
          <w:szCs w:val="22"/>
        </w:rPr>
        <w:t xml:space="preserve">Tabla </w:t>
      </w:r>
      <w:r w:rsidR="00DC14B1">
        <w:rPr>
          <w:rFonts w:ascii="Arial" w:hAnsi="Arial" w:cs="Arial"/>
          <w:color w:val="000000" w:themeColor="text1"/>
          <w:sz w:val="22"/>
          <w:szCs w:val="22"/>
        </w:rPr>
        <w:t>9</w:t>
      </w:r>
      <w:r w:rsidRPr="00CB24C7">
        <w:rPr>
          <w:rFonts w:ascii="Arial" w:hAnsi="Arial" w:cs="Arial"/>
          <w:color w:val="000000" w:themeColor="text1"/>
          <w:sz w:val="22"/>
          <w:szCs w:val="22"/>
        </w:rPr>
        <w:t xml:space="preserve"> </w:t>
      </w:r>
      <w:r w:rsidRPr="00CB24C7">
        <w:rPr>
          <w:rFonts w:ascii="Arial" w:hAnsi="Arial" w:cs="Arial"/>
          <w:bCs/>
          <w:sz w:val="22"/>
          <w:szCs w:val="22"/>
          <w:lang w:val="es-ES_tradnl"/>
        </w:rPr>
        <w:t>Otorgamientos vigencia 2000 – 201</w:t>
      </w:r>
      <w:r w:rsidR="00A048A9">
        <w:rPr>
          <w:rFonts w:ascii="Arial" w:hAnsi="Arial" w:cs="Arial"/>
          <w:bCs/>
          <w:sz w:val="22"/>
          <w:szCs w:val="22"/>
          <w:lang w:val="es-ES_tradnl"/>
        </w:rPr>
        <w:t>0</w:t>
      </w:r>
      <w:r w:rsidRPr="00CB24C7">
        <w:rPr>
          <w:rFonts w:ascii="Arial" w:hAnsi="Arial" w:cs="Arial"/>
          <w:bCs/>
          <w:sz w:val="22"/>
          <w:szCs w:val="22"/>
          <w:lang w:val="es-ES_tradnl"/>
        </w:rPr>
        <w:t xml:space="preserve"> (Banco Agrario de Colombia – BAC)</w:t>
      </w:r>
      <w:bookmarkEnd w:id="17"/>
    </w:p>
    <w:tbl>
      <w:tblPr>
        <w:tblW w:w="9039" w:type="dxa"/>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1984"/>
        <w:gridCol w:w="2126"/>
        <w:gridCol w:w="1560"/>
      </w:tblGrid>
      <w:tr w:rsidR="00265CE1" w:rsidRPr="00592232" w14:paraId="586EF3F1" w14:textId="77777777" w:rsidTr="004E313D">
        <w:trPr>
          <w:trHeight w:val="75"/>
        </w:trPr>
        <w:tc>
          <w:tcPr>
            <w:tcW w:w="3369" w:type="dxa"/>
          </w:tcPr>
          <w:p w14:paraId="7C9563A3"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Descripción</w:t>
            </w:r>
          </w:p>
        </w:tc>
        <w:tc>
          <w:tcPr>
            <w:tcW w:w="1984" w:type="dxa"/>
          </w:tcPr>
          <w:p w14:paraId="0A1C55A7" w14:textId="77777777" w:rsidR="00265CE1" w:rsidRPr="00592232" w:rsidRDefault="00265CE1" w:rsidP="002069F0">
            <w:pPr>
              <w:rPr>
                <w:rFonts w:ascii="Arial" w:hAnsi="Arial" w:cs="Arial"/>
                <w:sz w:val="22"/>
                <w:szCs w:val="22"/>
              </w:rPr>
            </w:pPr>
            <w:r w:rsidRPr="00592232">
              <w:rPr>
                <w:rFonts w:ascii="Arial" w:hAnsi="Arial" w:cs="Arial"/>
                <w:b/>
                <w:bCs/>
                <w:sz w:val="22"/>
                <w:szCs w:val="22"/>
              </w:rPr>
              <w:t>Mejoramiento</w:t>
            </w:r>
          </w:p>
        </w:tc>
        <w:tc>
          <w:tcPr>
            <w:tcW w:w="2126" w:type="dxa"/>
          </w:tcPr>
          <w:p w14:paraId="7C0E8C28" w14:textId="77777777" w:rsidR="00265CE1" w:rsidRPr="00592232" w:rsidRDefault="00265CE1" w:rsidP="002069F0">
            <w:pPr>
              <w:rPr>
                <w:rFonts w:ascii="Arial" w:hAnsi="Arial" w:cs="Arial"/>
                <w:sz w:val="22"/>
                <w:szCs w:val="22"/>
              </w:rPr>
            </w:pPr>
            <w:r w:rsidRPr="00592232">
              <w:rPr>
                <w:rFonts w:ascii="Arial" w:hAnsi="Arial" w:cs="Arial"/>
                <w:b/>
                <w:bCs/>
                <w:sz w:val="22"/>
                <w:szCs w:val="22"/>
              </w:rPr>
              <w:t>Vivienda Nueva</w:t>
            </w:r>
          </w:p>
        </w:tc>
        <w:tc>
          <w:tcPr>
            <w:tcW w:w="1560" w:type="dxa"/>
          </w:tcPr>
          <w:p w14:paraId="5523C5FA"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Total</w:t>
            </w:r>
          </w:p>
        </w:tc>
      </w:tr>
      <w:tr w:rsidR="00265CE1" w:rsidRPr="00592232" w14:paraId="7510BFA1" w14:textId="77777777" w:rsidTr="004E313D">
        <w:trPr>
          <w:trHeight w:val="75"/>
        </w:trPr>
        <w:tc>
          <w:tcPr>
            <w:tcW w:w="3369" w:type="dxa"/>
          </w:tcPr>
          <w:p w14:paraId="33914283"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No materializadas</w:t>
            </w:r>
          </w:p>
        </w:tc>
        <w:tc>
          <w:tcPr>
            <w:tcW w:w="1984" w:type="dxa"/>
          </w:tcPr>
          <w:p w14:paraId="66B16CE3"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668</w:t>
            </w:r>
          </w:p>
        </w:tc>
        <w:tc>
          <w:tcPr>
            <w:tcW w:w="2126" w:type="dxa"/>
          </w:tcPr>
          <w:p w14:paraId="3FAB1D60"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1459</w:t>
            </w:r>
          </w:p>
        </w:tc>
        <w:tc>
          <w:tcPr>
            <w:tcW w:w="1560" w:type="dxa"/>
          </w:tcPr>
          <w:p w14:paraId="2292CEB5"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2127</w:t>
            </w:r>
          </w:p>
        </w:tc>
      </w:tr>
      <w:tr w:rsidR="00265CE1" w:rsidRPr="00592232" w14:paraId="0DE669DC" w14:textId="77777777" w:rsidTr="004E313D">
        <w:trPr>
          <w:trHeight w:val="75"/>
        </w:trPr>
        <w:tc>
          <w:tcPr>
            <w:tcW w:w="3369" w:type="dxa"/>
          </w:tcPr>
          <w:p w14:paraId="1E948770"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Ejecución parcial (0% a 20%)</w:t>
            </w:r>
          </w:p>
        </w:tc>
        <w:tc>
          <w:tcPr>
            <w:tcW w:w="1984" w:type="dxa"/>
          </w:tcPr>
          <w:p w14:paraId="431CA895"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152</w:t>
            </w:r>
          </w:p>
        </w:tc>
        <w:tc>
          <w:tcPr>
            <w:tcW w:w="2126" w:type="dxa"/>
          </w:tcPr>
          <w:p w14:paraId="3D7C2E40"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334</w:t>
            </w:r>
          </w:p>
        </w:tc>
        <w:tc>
          <w:tcPr>
            <w:tcW w:w="1560" w:type="dxa"/>
          </w:tcPr>
          <w:p w14:paraId="60072A16"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486</w:t>
            </w:r>
          </w:p>
        </w:tc>
      </w:tr>
      <w:tr w:rsidR="00265CE1" w:rsidRPr="00592232" w14:paraId="3A798FAC" w14:textId="77777777" w:rsidTr="004E313D">
        <w:trPr>
          <w:trHeight w:val="75"/>
        </w:trPr>
        <w:tc>
          <w:tcPr>
            <w:tcW w:w="3369" w:type="dxa"/>
          </w:tcPr>
          <w:p w14:paraId="5B77C48F"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Ejecución parcial (21% a 40%)</w:t>
            </w:r>
          </w:p>
        </w:tc>
        <w:tc>
          <w:tcPr>
            <w:tcW w:w="1984" w:type="dxa"/>
          </w:tcPr>
          <w:p w14:paraId="1CBC7F2A"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222</w:t>
            </w:r>
          </w:p>
        </w:tc>
        <w:tc>
          <w:tcPr>
            <w:tcW w:w="2126" w:type="dxa"/>
          </w:tcPr>
          <w:p w14:paraId="0667203D"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261</w:t>
            </w:r>
          </w:p>
        </w:tc>
        <w:tc>
          <w:tcPr>
            <w:tcW w:w="1560" w:type="dxa"/>
          </w:tcPr>
          <w:p w14:paraId="3D4C7D8E"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483</w:t>
            </w:r>
          </w:p>
        </w:tc>
      </w:tr>
      <w:tr w:rsidR="00265CE1" w:rsidRPr="00592232" w14:paraId="5095735D" w14:textId="77777777" w:rsidTr="004E313D">
        <w:trPr>
          <w:trHeight w:val="75"/>
        </w:trPr>
        <w:tc>
          <w:tcPr>
            <w:tcW w:w="3369" w:type="dxa"/>
          </w:tcPr>
          <w:p w14:paraId="64898037"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Ejecución parcial (41% a 60%)</w:t>
            </w:r>
          </w:p>
        </w:tc>
        <w:tc>
          <w:tcPr>
            <w:tcW w:w="1984" w:type="dxa"/>
          </w:tcPr>
          <w:p w14:paraId="0A08A9CE"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314</w:t>
            </w:r>
          </w:p>
        </w:tc>
        <w:tc>
          <w:tcPr>
            <w:tcW w:w="2126" w:type="dxa"/>
          </w:tcPr>
          <w:p w14:paraId="096705ED"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748</w:t>
            </w:r>
          </w:p>
        </w:tc>
        <w:tc>
          <w:tcPr>
            <w:tcW w:w="1560" w:type="dxa"/>
          </w:tcPr>
          <w:p w14:paraId="505B1084"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1.062</w:t>
            </w:r>
          </w:p>
        </w:tc>
      </w:tr>
      <w:tr w:rsidR="00265CE1" w:rsidRPr="00592232" w14:paraId="0AA4DEFA" w14:textId="77777777" w:rsidTr="004E313D">
        <w:trPr>
          <w:trHeight w:val="75"/>
        </w:trPr>
        <w:tc>
          <w:tcPr>
            <w:tcW w:w="3369" w:type="dxa"/>
          </w:tcPr>
          <w:p w14:paraId="1077A7B5"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Ejecución parcial (61% a 80%)</w:t>
            </w:r>
          </w:p>
        </w:tc>
        <w:tc>
          <w:tcPr>
            <w:tcW w:w="1984" w:type="dxa"/>
          </w:tcPr>
          <w:p w14:paraId="596973F7"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803</w:t>
            </w:r>
          </w:p>
        </w:tc>
        <w:tc>
          <w:tcPr>
            <w:tcW w:w="2126" w:type="dxa"/>
          </w:tcPr>
          <w:p w14:paraId="3D92A0D3"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1.621</w:t>
            </w:r>
          </w:p>
        </w:tc>
        <w:tc>
          <w:tcPr>
            <w:tcW w:w="1560" w:type="dxa"/>
          </w:tcPr>
          <w:p w14:paraId="3D308D2D"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2.424</w:t>
            </w:r>
          </w:p>
        </w:tc>
      </w:tr>
      <w:tr w:rsidR="00265CE1" w:rsidRPr="00592232" w14:paraId="17F75F1F" w14:textId="77777777" w:rsidTr="004E313D">
        <w:trPr>
          <w:trHeight w:val="75"/>
        </w:trPr>
        <w:tc>
          <w:tcPr>
            <w:tcW w:w="3369" w:type="dxa"/>
          </w:tcPr>
          <w:p w14:paraId="720AD850"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Ejecución parcial (81% a 99%)</w:t>
            </w:r>
          </w:p>
        </w:tc>
        <w:tc>
          <w:tcPr>
            <w:tcW w:w="1984" w:type="dxa"/>
          </w:tcPr>
          <w:p w14:paraId="25195772"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1.473</w:t>
            </w:r>
          </w:p>
        </w:tc>
        <w:tc>
          <w:tcPr>
            <w:tcW w:w="2126" w:type="dxa"/>
          </w:tcPr>
          <w:p w14:paraId="583C76EC"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2.336</w:t>
            </w:r>
          </w:p>
        </w:tc>
        <w:tc>
          <w:tcPr>
            <w:tcW w:w="1560" w:type="dxa"/>
          </w:tcPr>
          <w:p w14:paraId="22AB12A7"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3.809</w:t>
            </w:r>
          </w:p>
        </w:tc>
      </w:tr>
      <w:tr w:rsidR="00265CE1" w:rsidRPr="00592232" w14:paraId="29454D94" w14:textId="77777777" w:rsidTr="004E313D">
        <w:trPr>
          <w:trHeight w:val="75"/>
        </w:trPr>
        <w:tc>
          <w:tcPr>
            <w:tcW w:w="3369" w:type="dxa"/>
          </w:tcPr>
          <w:p w14:paraId="0808E28F"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Superior al 95%</w:t>
            </w:r>
          </w:p>
        </w:tc>
        <w:tc>
          <w:tcPr>
            <w:tcW w:w="1984" w:type="dxa"/>
          </w:tcPr>
          <w:p w14:paraId="57E84790"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822</w:t>
            </w:r>
          </w:p>
        </w:tc>
        <w:tc>
          <w:tcPr>
            <w:tcW w:w="2126" w:type="dxa"/>
          </w:tcPr>
          <w:p w14:paraId="050E4153"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1102</w:t>
            </w:r>
          </w:p>
        </w:tc>
        <w:tc>
          <w:tcPr>
            <w:tcW w:w="1560" w:type="dxa"/>
          </w:tcPr>
          <w:p w14:paraId="0EECB0BF" w14:textId="77777777" w:rsidR="00265CE1" w:rsidRPr="00592232" w:rsidRDefault="00265CE1" w:rsidP="002069F0">
            <w:pPr>
              <w:jc w:val="center"/>
              <w:rPr>
                <w:rFonts w:ascii="Arial" w:hAnsi="Arial" w:cs="Arial"/>
                <w:sz w:val="22"/>
                <w:szCs w:val="22"/>
              </w:rPr>
            </w:pPr>
            <w:r w:rsidRPr="00592232">
              <w:rPr>
                <w:rFonts w:ascii="Arial" w:hAnsi="Arial" w:cs="Arial"/>
                <w:sz w:val="22"/>
                <w:szCs w:val="22"/>
              </w:rPr>
              <w:t>1.924</w:t>
            </w:r>
          </w:p>
        </w:tc>
      </w:tr>
      <w:tr w:rsidR="00265CE1" w:rsidRPr="00592232" w14:paraId="6FEA8739" w14:textId="77777777" w:rsidTr="004E313D">
        <w:trPr>
          <w:trHeight w:val="75"/>
        </w:trPr>
        <w:tc>
          <w:tcPr>
            <w:tcW w:w="3369" w:type="dxa"/>
          </w:tcPr>
          <w:p w14:paraId="62BDF776"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Total</w:t>
            </w:r>
          </w:p>
        </w:tc>
        <w:tc>
          <w:tcPr>
            <w:tcW w:w="1984" w:type="dxa"/>
          </w:tcPr>
          <w:p w14:paraId="2CCB5BC2"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4.454</w:t>
            </w:r>
          </w:p>
        </w:tc>
        <w:tc>
          <w:tcPr>
            <w:tcW w:w="2126" w:type="dxa"/>
          </w:tcPr>
          <w:p w14:paraId="108BFEEA"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7.861</w:t>
            </w:r>
          </w:p>
        </w:tc>
        <w:tc>
          <w:tcPr>
            <w:tcW w:w="1560" w:type="dxa"/>
          </w:tcPr>
          <w:p w14:paraId="65BF1DE3" w14:textId="77777777" w:rsidR="00265CE1" w:rsidRPr="00592232" w:rsidRDefault="00265CE1" w:rsidP="002069F0">
            <w:pPr>
              <w:jc w:val="center"/>
              <w:rPr>
                <w:rFonts w:ascii="Arial" w:hAnsi="Arial" w:cs="Arial"/>
                <w:sz w:val="22"/>
                <w:szCs w:val="22"/>
              </w:rPr>
            </w:pPr>
            <w:r w:rsidRPr="00592232">
              <w:rPr>
                <w:rFonts w:ascii="Arial" w:hAnsi="Arial" w:cs="Arial"/>
                <w:b/>
                <w:bCs/>
                <w:sz w:val="22"/>
                <w:szCs w:val="22"/>
              </w:rPr>
              <w:t>12.315</w:t>
            </w:r>
          </w:p>
        </w:tc>
      </w:tr>
    </w:tbl>
    <w:p w14:paraId="28040164" w14:textId="3A9AAD1B" w:rsidR="009550D3" w:rsidRPr="00005D8E" w:rsidRDefault="00265CE1" w:rsidP="00265CE1">
      <w:pPr>
        <w:jc w:val="both"/>
        <w:rPr>
          <w:rFonts w:ascii="Arial" w:hAnsi="Arial" w:cs="Arial"/>
          <w:sz w:val="22"/>
          <w:szCs w:val="22"/>
          <w:lang w:val="es-ES_tradnl"/>
        </w:rPr>
      </w:pPr>
      <w:r>
        <w:rPr>
          <w:rFonts w:ascii="Arial" w:hAnsi="Arial" w:cs="Arial"/>
          <w:sz w:val="22"/>
          <w:szCs w:val="22"/>
          <w:lang w:val="es-ES_tradnl"/>
        </w:rPr>
        <w:lastRenderedPageBreak/>
        <w:t xml:space="preserve">Fuente. </w:t>
      </w:r>
      <w:r w:rsidR="00D95D7D">
        <w:rPr>
          <w:rFonts w:ascii="Arial" w:hAnsi="Arial" w:cs="Arial"/>
          <w:sz w:val="22"/>
          <w:szCs w:val="22"/>
          <w:lang w:val="es-ES_tradnl"/>
        </w:rPr>
        <w:t xml:space="preserve">Oficio </w:t>
      </w:r>
      <w:r w:rsidR="00164AA8" w:rsidRPr="00164AA8">
        <w:rPr>
          <w:rFonts w:ascii="Arial" w:hAnsi="Arial" w:cs="Arial"/>
          <w:sz w:val="22"/>
          <w:szCs w:val="22"/>
          <w:lang w:val="es-ES_tradnl"/>
        </w:rPr>
        <w:t>GV 0054</w:t>
      </w:r>
      <w:r>
        <w:rPr>
          <w:rFonts w:ascii="Arial" w:hAnsi="Arial" w:cs="Arial"/>
          <w:sz w:val="22"/>
          <w:szCs w:val="22"/>
          <w:lang w:val="es-ES_tradnl"/>
        </w:rPr>
        <w:t xml:space="preserve"> de fecha </w:t>
      </w:r>
      <w:r w:rsidR="00B91FB0" w:rsidRPr="00B91FB0">
        <w:rPr>
          <w:rFonts w:ascii="Arial" w:hAnsi="Arial" w:cs="Arial"/>
          <w:sz w:val="22"/>
          <w:szCs w:val="22"/>
          <w:lang w:val="es-ES_tradnl"/>
        </w:rPr>
        <w:t>16 de enero de 2025</w:t>
      </w:r>
      <w:r w:rsidR="00B91FB0">
        <w:rPr>
          <w:rFonts w:ascii="Arial" w:hAnsi="Arial" w:cs="Arial"/>
          <w:sz w:val="22"/>
          <w:szCs w:val="22"/>
          <w:lang w:val="es-ES_tradnl"/>
        </w:rPr>
        <w:t xml:space="preserve"> </w:t>
      </w:r>
      <w:r>
        <w:rPr>
          <w:rFonts w:ascii="Arial" w:hAnsi="Arial" w:cs="Arial"/>
          <w:sz w:val="22"/>
          <w:szCs w:val="22"/>
          <w:lang w:val="es-ES_tradnl"/>
        </w:rPr>
        <w:t xml:space="preserve">– Informe de gestión acumulado </w:t>
      </w:r>
      <w:r w:rsidR="00B91FB0">
        <w:rPr>
          <w:rFonts w:ascii="Arial" w:hAnsi="Arial" w:cs="Arial"/>
          <w:sz w:val="22"/>
          <w:szCs w:val="22"/>
          <w:lang w:val="es-ES_tradnl"/>
        </w:rPr>
        <w:t xml:space="preserve">noviembre </w:t>
      </w:r>
      <w:r>
        <w:rPr>
          <w:rFonts w:ascii="Arial" w:hAnsi="Arial" w:cs="Arial"/>
          <w:sz w:val="22"/>
          <w:szCs w:val="22"/>
          <w:lang w:val="es-ES_tradnl"/>
        </w:rPr>
        <w:t xml:space="preserve">y </w:t>
      </w:r>
      <w:r w:rsidR="00B91FB0">
        <w:rPr>
          <w:rFonts w:ascii="Arial" w:hAnsi="Arial" w:cs="Arial"/>
          <w:sz w:val="22"/>
          <w:szCs w:val="22"/>
          <w:lang w:val="es-ES_tradnl"/>
        </w:rPr>
        <w:t>diciembre</w:t>
      </w:r>
      <w:r>
        <w:rPr>
          <w:rFonts w:ascii="Arial" w:hAnsi="Arial" w:cs="Arial"/>
          <w:sz w:val="22"/>
          <w:szCs w:val="22"/>
          <w:lang w:val="es-ES_tradnl"/>
        </w:rPr>
        <w:t xml:space="preserve"> 2025. </w:t>
      </w:r>
    </w:p>
    <w:p w14:paraId="0444390E" w14:textId="77777777" w:rsidR="00EC706E" w:rsidRDefault="00EC706E" w:rsidP="00265CE1">
      <w:pPr>
        <w:jc w:val="both"/>
        <w:rPr>
          <w:lang w:val="es-ES_tradnl"/>
        </w:rPr>
      </w:pPr>
    </w:p>
    <w:p w14:paraId="2473E888" w14:textId="76DC9212" w:rsidR="007A6E4C" w:rsidRDefault="00AF3E75" w:rsidP="005E0F53">
      <w:pPr>
        <w:pStyle w:val="Prrafodelista"/>
        <w:numPr>
          <w:ilvl w:val="2"/>
          <w:numId w:val="7"/>
        </w:numPr>
        <w:jc w:val="both"/>
        <w:rPr>
          <w:rFonts w:ascii="Arial" w:hAnsi="Arial" w:cs="Arial"/>
          <w:sz w:val="22"/>
          <w:szCs w:val="22"/>
          <w:lang w:val="es-ES_tradnl"/>
        </w:rPr>
      </w:pPr>
      <w:r w:rsidRPr="00AF3E75">
        <w:rPr>
          <w:rFonts w:ascii="Arial" w:hAnsi="Arial" w:cs="Arial"/>
          <w:sz w:val="22"/>
          <w:szCs w:val="22"/>
          <w:lang w:val="es-ES_tradnl"/>
        </w:rPr>
        <w:t>Subsidios Otorgados en el Periodo 20</w:t>
      </w:r>
      <w:r>
        <w:rPr>
          <w:rFonts w:ascii="Arial" w:hAnsi="Arial" w:cs="Arial"/>
          <w:sz w:val="22"/>
          <w:szCs w:val="22"/>
          <w:lang w:val="es-ES_tradnl"/>
        </w:rPr>
        <w:t>11</w:t>
      </w:r>
      <w:r w:rsidRPr="00AF3E75">
        <w:rPr>
          <w:rFonts w:ascii="Arial" w:hAnsi="Arial" w:cs="Arial"/>
          <w:sz w:val="22"/>
          <w:szCs w:val="22"/>
          <w:lang w:val="es-ES_tradnl"/>
        </w:rPr>
        <w:t xml:space="preserve"> a 201</w:t>
      </w:r>
      <w:r>
        <w:rPr>
          <w:rFonts w:ascii="Arial" w:hAnsi="Arial" w:cs="Arial"/>
          <w:sz w:val="22"/>
          <w:szCs w:val="22"/>
          <w:lang w:val="es-ES_tradnl"/>
        </w:rPr>
        <w:t>7</w:t>
      </w:r>
      <w:r w:rsidRPr="00AF3E75">
        <w:rPr>
          <w:rFonts w:ascii="Arial" w:hAnsi="Arial" w:cs="Arial"/>
          <w:sz w:val="22"/>
          <w:szCs w:val="22"/>
          <w:lang w:val="es-ES_tradnl"/>
        </w:rPr>
        <w:t xml:space="preserve">. </w:t>
      </w:r>
    </w:p>
    <w:p w14:paraId="5EC8852E" w14:textId="77777777" w:rsidR="005E0F53" w:rsidRPr="005E0F53" w:rsidRDefault="005E0F53" w:rsidP="005E0F53">
      <w:pPr>
        <w:pStyle w:val="Prrafodelista"/>
        <w:ind w:left="1080"/>
        <w:jc w:val="both"/>
        <w:rPr>
          <w:rFonts w:ascii="Arial" w:hAnsi="Arial" w:cs="Arial"/>
          <w:sz w:val="22"/>
          <w:szCs w:val="22"/>
          <w:lang w:val="es-ES_tradnl"/>
        </w:rPr>
      </w:pPr>
    </w:p>
    <w:p w14:paraId="6A065395" w14:textId="77777777" w:rsidR="00213B0C" w:rsidRDefault="00AE0F85" w:rsidP="00AF3E75">
      <w:pPr>
        <w:jc w:val="both"/>
        <w:rPr>
          <w:rFonts w:ascii="Arial" w:hAnsi="Arial" w:cs="Arial"/>
          <w:sz w:val="22"/>
          <w:szCs w:val="22"/>
        </w:rPr>
      </w:pPr>
      <w:r w:rsidRPr="00731825">
        <w:rPr>
          <w:rFonts w:ascii="Arial" w:hAnsi="Arial" w:cs="Arial"/>
          <w:sz w:val="22"/>
          <w:szCs w:val="22"/>
        </w:rPr>
        <w:t>Para las vigencias 2011 a 2017,</w:t>
      </w:r>
      <w:r w:rsidR="00440A65" w:rsidRPr="00731825">
        <w:rPr>
          <w:rFonts w:ascii="Arial" w:hAnsi="Arial" w:cs="Arial"/>
          <w:sz w:val="22"/>
          <w:szCs w:val="22"/>
        </w:rPr>
        <w:t xml:space="preserve"> el Banco Agrario de Colombia S.A.,</w:t>
      </w:r>
      <w:r w:rsidR="009302B8" w:rsidRPr="00731825">
        <w:rPr>
          <w:rFonts w:ascii="Arial" w:hAnsi="Arial" w:cs="Arial"/>
          <w:sz w:val="22"/>
          <w:szCs w:val="22"/>
        </w:rPr>
        <w:t xml:space="preserve"> </w:t>
      </w:r>
      <w:r w:rsidR="00440A65" w:rsidRPr="00731825">
        <w:rPr>
          <w:rFonts w:ascii="Arial" w:hAnsi="Arial" w:cs="Arial"/>
          <w:sz w:val="22"/>
          <w:szCs w:val="22"/>
        </w:rPr>
        <w:t xml:space="preserve">como </w:t>
      </w:r>
      <w:r w:rsidR="00174C67" w:rsidRPr="00731825">
        <w:rPr>
          <w:rFonts w:ascii="Arial" w:hAnsi="Arial" w:cs="Arial"/>
          <w:sz w:val="22"/>
          <w:szCs w:val="22"/>
        </w:rPr>
        <w:t>E</w:t>
      </w:r>
      <w:r w:rsidR="00440A65" w:rsidRPr="00731825">
        <w:rPr>
          <w:rFonts w:ascii="Arial" w:hAnsi="Arial" w:cs="Arial"/>
          <w:sz w:val="22"/>
          <w:szCs w:val="22"/>
        </w:rPr>
        <w:t xml:space="preserve">ntidad </w:t>
      </w:r>
      <w:r w:rsidR="00174C67" w:rsidRPr="00731825">
        <w:rPr>
          <w:rFonts w:ascii="Arial" w:hAnsi="Arial" w:cs="Arial"/>
          <w:sz w:val="22"/>
          <w:szCs w:val="22"/>
        </w:rPr>
        <w:t>O</w:t>
      </w:r>
      <w:r w:rsidR="00440A65" w:rsidRPr="00731825">
        <w:rPr>
          <w:rFonts w:ascii="Arial" w:hAnsi="Arial" w:cs="Arial"/>
          <w:sz w:val="22"/>
          <w:szCs w:val="22"/>
        </w:rPr>
        <w:t xml:space="preserve">torgante adoptó </w:t>
      </w:r>
      <w:r w:rsidRPr="00731825">
        <w:rPr>
          <w:rFonts w:ascii="Arial" w:hAnsi="Arial" w:cs="Arial"/>
          <w:sz w:val="22"/>
          <w:szCs w:val="22"/>
        </w:rPr>
        <w:t xml:space="preserve">un modelo diferente de administración de los recursos y ejecución de los subsidios, </w:t>
      </w:r>
      <w:r w:rsidR="00174C67" w:rsidRPr="00731825">
        <w:rPr>
          <w:rFonts w:ascii="Arial" w:hAnsi="Arial" w:cs="Arial"/>
          <w:sz w:val="22"/>
          <w:szCs w:val="22"/>
        </w:rPr>
        <w:t xml:space="preserve">el cual imponía el deber de </w:t>
      </w:r>
      <w:r w:rsidRPr="00731825">
        <w:rPr>
          <w:rFonts w:ascii="Arial" w:hAnsi="Arial" w:cs="Arial"/>
          <w:sz w:val="22"/>
          <w:szCs w:val="22"/>
        </w:rPr>
        <w:t>contratar a una persona jurídica, denominada Entidad Operadora, para adelantar actividades de administración y pagos de</w:t>
      </w:r>
      <w:r w:rsidR="00174C67" w:rsidRPr="00731825">
        <w:rPr>
          <w:rFonts w:ascii="Arial" w:hAnsi="Arial" w:cs="Arial"/>
          <w:sz w:val="22"/>
          <w:szCs w:val="22"/>
        </w:rPr>
        <w:t xml:space="preserve"> los</w:t>
      </w:r>
      <w:r w:rsidRPr="00731825">
        <w:rPr>
          <w:rFonts w:ascii="Arial" w:hAnsi="Arial" w:cs="Arial"/>
          <w:sz w:val="22"/>
          <w:szCs w:val="22"/>
        </w:rPr>
        <w:t xml:space="preserve"> S</w:t>
      </w:r>
      <w:r w:rsidR="00174C67" w:rsidRPr="00731825">
        <w:rPr>
          <w:rFonts w:ascii="Arial" w:hAnsi="Arial" w:cs="Arial"/>
          <w:sz w:val="22"/>
          <w:szCs w:val="22"/>
        </w:rPr>
        <w:t>ubsidios Familiares de Vivienda de Interés Social Rural</w:t>
      </w:r>
      <w:r w:rsidRPr="00731825">
        <w:rPr>
          <w:rFonts w:ascii="Arial" w:hAnsi="Arial" w:cs="Arial"/>
          <w:sz w:val="22"/>
          <w:szCs w:val="22"/>
        </w:rPr>
        <w:t xml:space="preserve">, </w:t>
      </w:r>
      <w:r w:rsidR="00174C67" w:rsidRPr="00731825">
        <w:rPr>
          <w:rFonts w:ascii="Arial" w:hAnsi="Arial" w:cs="Arial"/>
          <w:sz w:val="22"/>
          <w:szCs w:val="22"/>
        </w:rPr>
        <w:t xml:space="preserve">realizar </w:t>
      </w:r>
      <w:r w:rsidRPr="00731825">
        <w:rPr>
          <w:rFonts w:ascii="Arial" w:hAnsi="Arial" w:cs="Arial"/>
          <w:sz w:val="22"/>
          <w:szCs w:val="22"/>
        </w:rPr>
        <w:t>diagnósticos y estructuración de proyectos</w:t>
      </w:r>
      <w:r w:rsidR="00174C67" w:rsidRPr="00731825">
        <w:rPr>
          <w:rFonts w:ascii="Arial" w:hAnsi="Arial" w:cs="Arial"/>
          <w:sz w:val="22"/>
          <w:szCs w:val="22"/>
        </w:rPr>
        <w:t>, así como realizar la</w:t>
      </w:r>
      <w:r w:rsidRPr="00731825">
        <w:rPr>
          <w:rFonts w:ascii="Arial" w:hAnsi="Arial" w:cs="Arial"/>
          <w:sz w:val="22"/>
          <w:szCs w:val="22"/>
        </w:rPr>
        <w:t xml:space="preserve"> suscripción de los contratos de ejecución de obra, interventoría de obra y de trabajo social y ambiental, seguimiento a la ejecución física de las obras, los avances del proyecto y la inversión de los recursos, entregas de vivienda, entre otras.</w:t>
      </w:r>
      <w:r w:rsidR="00174C67" w:rsidRPr="00731825">
        <w:rPr>
          <w:rFonts w:ascii="Arial" w:hAnsi="Arial" w:cs="Arial"/>
          <w:sz w:val="22"/>
          <w:szCs w:val="22"/>
        </w:rPr>
        <w:t xml:space="preserve"> </w:t>
      </w:r>
      <w:r w:rsidR="00174C67" w:rsidRPr="00731825">
        <w:rPr>
          <w:rFonts w:ascii="Arial" w:hAnsi="Arial" w:cs="Arial"/>
          <w:sz w:val="22"/>
          <w:szCs w:val="22"/>
          <w:lang w:val="es-ES_tradnl"/>
        </w:rPr>
        <w:t xml:space="preserve">Lo anterior en cumplimiento con lo establecido en el </w:t>
      </w:r>
      <w:r w:rsidR="00440A65" w:rsidRPr="00731825">
        <w:rPr>
          <w:rFonts w:ascii="Arial" w:hAnsi="Arial" w:cs="Arial"/>
          <w:sz w:val="22"/>
          <w:szCs w:val="22"/>
        </w:rPr>
        <w:t>artículo 63 del Decreto 1160 de 2010, así como el artículo 35 del Decreto</w:t>
      </w:r>
      <w:r w:rsidR="00440A65" w:rsidRPr="00AE0F85">
        <w:rPr>
          <w:rFonts w:ascii="Arial" w:hAnsi="Arial" w:cs="Arial"/>
          <w:sz w:val="22"/>
          <w:szCs w:val="22"/>
        </w:rPr>
        <w:t xml:space="preserve"> 900 de 2012, que modificó el Decreto 1160 así como el respectivo Reglamento Operativo del Programa de Vivienda de Interés Social Rural</w:t>
      </w:r>
      <w:r w:rsidR="00174C67">
        <w:rPr>
          <w:rFonts w:ascii="Arial" w:hAnsi="Arial" w:cs="Arial"/>
          <w:sz w:val="22"/>
          <w:szCs w:val="22"/>
        </w:rPr>
        <w:t>.</w:t>
      </w:r>
    </w:p>
    <w:p w14:paraId="496320BF" w14:textId="7A21494F" w:rsidR="00AF3E75" w:rsidRDefault="00174C67" w:rsidP="00AF3E75">
      <w:pPr>
        <w:jc w:val="both"/>
        <w:rPr>
          <w:rFonts w:ascii="Arial" w:hAnsi="Arial" w:cs="Arial"/>
          <w:sz w:val="22"/>
          <w:szCs w:val="22"/>
          <w:lang w:val="es-ES_tradnl"/>
        </w:rPr>
      </w:pPr>
      <w:r>
        <w:rPr>
          <w:rFonts w:ascii="Arial" w:hAnsi="Arial" w:cs="Arial"/>
          <w:sz w:val="22"/>
          <w:szCs w:val="22"/>
        </w:rPr>
        <w:t xml:space="preserve"> </w:t>
      </w:r>
    </w:p>
    <w:p w14:paraId="4DA7C238" w14:textId="10CF41F0" w:rsidR="00AF3E75" w:rsidRPr="00213B0C" w:rsidRDefault="00213B0C" w:rsidP="00AF3E75">
      <w:pPr>
        <w:jc w:val="both"/>
        <w:rPr>
          <w:rFonts w:ascii="Arial" w:hAnsi="Arial" w:cs="Arial"/>
          <w:color w:val="EE0000"/>
          <w:sz w:val="22"/>
          <w:szCs w:val="22"/>
          <w:lang w:val="es-ES_tradnl"/>
        </w:rPr>
      </w:pPr>
      <w:r w:rsidRPr="00213B0C">
        <w:rPr>
          <w:rFonts w:ascii="Arial" w:hAnsi="Arial" w:cs="Arial"/>
          <w:color w:val="EE0000"/>
          <w:sz w:val="22"/>
          <w:szCs w:val="22"/>
          <w:lang w:val="es-ES_tradnl"/>
        </w:rPr>
        <w:t xml:space="preserve">CATALINA </w:t>
      </w:r>
    </w:p>
    <w:p w14:paraId="63B64787" w14:textId="125180B1" w:rsidR="004548BD" w:rsidRDefault="003B4FA7" w:rsidP="00AF3E75">
      <w:pPr>
        <w:jc w:val="both"/>
        <w:rPr>
          <w:rFonts w:ascii="Arial" w:hAnsi="Arial" w:cs="Arial"/>
          <w:sz w:val="22"/>
          <w:szCs w:val="22"/>
        </w:rPr>
      </w:pPr>
      <w:r>
        <w:rPr>
          <w:rFonts w:ascii="Arial" w:hAnsi="Arial" w:cs="Arial"/>
          <w:sz w:val="22"/>
          <w:szCs w:val="22"/>
        </w:rPr>
        <w:t xml:space="preserve">Para el presente bimestre se informa que, de los </w:t>
      </w:r>
      <w:r w:rsidR="004432AD" w:rsidRPr="004432AD">
        <w:rPr>
          <w:rFonts w:ascii="Arial" w:hAnsi="Arial" w:cs="Arial"/>
          <w:sz w:val="22"/>
          <w:szCs w:val="22"/>
        </w:rPr>
        <w:t xml:space="preserve">107.662 SFVISR otorgados </w:t>
      </w:r>
      <w:r>
        <w:rPr>
          <w:rFonts w:ascii="Arial" w:hAnsi="Arial" w:cs="Arial"/>
          <w:sz w:val="22"/>
          <w:szCs w:val="22"/>
        </w:rPr>
        <w:t xml:space="preserve">por parte del BANCO AGRARIO DE COLOMBIA S.A. </w:t>
      </w:r>
      <w:r w:rsidR="004432AD" w:rsidRPr="004432AD">
        <w:rPr>
          <w:rFonts w:ascii="Arial" w:hAnsi="Arial" w:cs="Arial"/>
          <w:sz w:val="22"/>
          <w:szCs w:val="22"/>
        </w:rPr>
        <w:t>durante las vigencias 2011 a 2017,</w:t>
      </w:r>
      <w:r w:rsidR="00D72A0F">
        <w:rPr>
          <w:rFonts w:ascii="Arial" w:hAnsi="Arial" w:cs="Arial"/>
          <w:sz w:val="22"/>
          <w:szCs w:val="22"/>
        </w:rPr>
        <w:t xml:space="preserve"> 81</w:t>
      </w:r>
      <w:r w:rsidR="00151E1B">
        <w:rPr>
          <w:rFonts w:ascii="Arial" w:hAnsi="Arial" w:cs="Arial"/>
          <w:sz w:val="22"/>
          <w:szCs w:val="22"/>
        </w:rPr>
        <w:t>.</w:t>
      </w:r>
      <w:r w:rsidR="00760AD5">
        <w:rPr>
          <w:rFonts w:ascii="Arial" w:hAnsi="Arial" w:cs="Arial"/>
          <w:sz w:val="22"/>
          <w:szCs w:val="22"/>
        </w:rPr>
        <w:t>841</w:t>
      </w:r>
      <w:r>
        <w:rPr>
          <w:rFonts w:ascii="Arial" w:hAnsi="Arial" w:cs="Arial"/>
          <w:sz w:val="22"/>
          <w:szCs w:val="22"/>
        </w:rPr>
        <w:t xml:space="preserve"> </w:t>
      </w:r>
      <w:r w:rsidR="005248EC">
        <w:rPr>
          <w:rFonts w:ascii="Arial" w:hAnsi="Arial" w:cs="Arial"/>
          <w:sz w:val="22"/>
          <w:szCs w:val="22"/>
        </w:rPr>
        <w:t>subsi</w:t>
      </w:r>
      <w:r w:rsidR="009F27E2">
        <w:rPr>
          <w:rFonts w:ascii="Arial" w:hAnsi="Arial" w:cs="Arial"/>
          <w:sz w:val="22"/>
          <w:szCs w:val="22"/>
        </w:rPr>
        <w:t>dios reportan como materializados</w:t>
      </w:r>
      <w:r w:rsidR="002252BD">
        <w:rPr>
          <w:rFonts w:ascii="Arial" w:hAnsi="Arial" w:cs="Arial"/>
          <w:sz w:val="22"/>
          <w:szCs w:val="22"/>
        </w:rPr>
        <w:t xml:space="preserve">, lo cual corresponde al </w:t>
      </w:r>
      <w:r w:rsidR="009F27E2">
        <w:rPr>
          <w:rFonts w:ascii="Arial" w:hAnsi="Arial" w:cs="Arial"/>
          <w:sz w:val="22"/>
          <w:szCs w:val="22"/>
        </w:rPr>
        <w:t>7</w:t>
      </w:r>
      <w:r w:rsidR="00927C93">
        <w:rPr>
          <w:rFonts w:ascii="Arial" w:hAnsi="Arial" w:cs="Arial"/>
          <w:sz w:val="22"/>
          <w:szCs w:val="22"/>
        </w:rPr>
        <w:t>6</w:t>
      </w:r>
      <w:r w:rsidR="009F27E2">
        <w:rPr>
          <w:rFonts w:ascii="Arial" w:hAnsi="Arial" w:cs="Arial"/>
          <w:sz w:val="22"/>
          <w:szCs w:val="22"/>
        </w:rPr>
        <w:t>.</w:t>
      </w:r>
      <w:r w:rsidR="00927C93">
        <w:rPr>
          <w:rFonts w:ascii="Arial" w:hAnsi="Arial" w:cs="Arial"/>
          <w:sz w:val="22"/>
          <w:szCs w:val="22"/>
        </w:rPr>
        <w:t>02</w:t>
      </w:r>
      <w:r w:rsidR="009F27E2">
        <w:rPr>
          <w:rFonts w:ascii="Arial" w:hAnsi="Arial" w:cs="Arial"/>
          <w:sz w:val="22"/>
          <w:szCs w:val="22"/>
        </w:rPr>
        <w:t>%</w:t>
      </w:r>
      <w:r w:rsidR="00760AD5">
        <w:rPr>
          <w:rFonts w:ascii="Arial" w:hAnsi="Arial" w:cs="Arial"/>
          <w:sz w:val="22"/>
          <w:szCs w:val="22"/>
        </w:rPr>
        <w:t>,</w:t>
      </w:r>
      <w:r w:rsidR="003E7051">
        <w:rPr>
          <w:rFonts w:ascii="Arial" w:hAnsi="Arial" w:cs="Arial"/>
          <w:sz w:val="22"/>
          <w:szCs w:val="22"/>
        </w:rPr>
        <w:t xml:space="preserve"> </w:t>
      </w:r>
      <w:r w:rsidR="00F23237">
        <w:rPr>
          <w:rFonts w:ascii="Arial" w:hAnsi="Arial" w:cs="Arial"/>
          <w:sz w:val="22"/>
          <w:szCs w:val="22"/>
        </w:rPr>
        <w:t xml:space="preserve">así mismo </w:t>
      </w:r>
      <w:r w:rsidR="003E7051">
        <w:rPr>
          <w:rFonts w:ascii="Arial" w:hAnsi="Arial" w:cs="Arial"/>
          <w:sz w:val="22"/>
          <w:szCs w:val="22"/>
        </w:rPr>
        <w:t>2.889 subsidios se registran como retirados</w:t>
      </w:r>
      <w:r w:rsidR="00F23237">
        <w:rPr>
          <w:rFonts w:ascii="Arial" w:hAnsi="Arial" w:cs="Arial"/>
          <w:sz w:val="22"/>
          <w:szCs w:val="22"/>
        </w:rPr>
        <w:t xml:space="preserve">, lo cual permite </w:t>
      </w:r>
      <w:r w:rsidR="00F23237" w:rsidRPr="00F23237">
        <w:rPr>
          <w:rFonts w:ascii="Arial" w:hAnsi="Arial" w:cs="Arial"/>
          <w:b/>
          <w:bCs/>
          <w:sz w:val="22"/>
          <w:szCs w:val="22"/>
        </w:rPr>
        <w:t xml:space="preserve">concluir que a la fecha se encuentran </w:t>
      </w:r>
      <w:commentRangeStart w:id="18"/>
      <w:commentRangeStart w:id="19"/>
      <w:commentRangeStart w:id="20"/>
      <w:r w:rsidR="00F23237" w:rsidRPr="00F23237">
        <w:rPr>
          <w:rFonts w:ascii="Arial" w:hAnsi="Arial" w:cs="Arial"/>
          <w:b/>
          <w:bCs/>
          <w:sz w:val="22"/>
          <w:szCs w:val="22"/>
        </w:rPr>
        <w:t>22.932</w:t>
      </w:r>
      <w:commentRangeEnd w:id="18"/>
      <w:r w:rsidR="00523EDF">
        <w:rPr>
          <w:rStyle w:val="Refdecomentario"/>
          <w:rFonts w:ascii="Tw Cen MT" w:eastAsia="Tw Cen MT" w:hAnsi="Tw Cen MT" w:cs="Tw Cen MT"/>
          <w:lang w:val="es-ES" w:eastAsia="es-ES" w:bidi="es-ES"/>
        </w:rPr>
        <w:commentReference w:id="18"/>
      </w:r>
      <w:commentRangeEnd w:id="19"/>
      <w:r w:rsidR="00523EDF">
        <w:rPr>
          <w:rStyle w:val="Refdecomentario"/>
          <w:rFonts w:ascii="Tw Cen MT" w:eastAsia="Tw Cen MT" w:hAnsi="Tw Cen MT" w:cs="Tw Cen MT"/>
          <w:lang w:val="es-ES" w:eastAsia="es-ES" w:bidi="es-ES"/>
        </w:rPr>
        <w:commentReference w:id="19"/>
      </w:r>
      <w:commentRangeEnd w:id="20"/>
      <w:r w:rsidR="00523EDF">
        <w:rPr>
          <w:rStyle w:val="Refdecomentario"/>
          <w:rFonts w:ascii="Tw Cen MT" w:eastAsia="Tw Cen MT" w:hAnsi="Tw Cen MT" w:cs="Tw Cen MT"/>
          <w:lang w:val="es-ES" w:eastAsia="es-ES" w:bidi="es-ES"/>
        </w:rPr>
        <w:commentReference w:id="20"/>
      </w:r>
      <w:r w:rsidR="00731825" w:rsidRPr="00F23237">
        <w:rPr>
          <w:rFonts w:ascii="Arial" w:hAnsi="Arial" w:cs="Arial"/>
          <w:b/>
          <w:bCs/>
          <w:sz w:val="22"/>
          <w:szCs w:val="22"/>
        </w:rPr>
        <w:t xml:space="preserve"> SFVISR no materializados</w:t>
      </w:r>
      <w:r w:rsidR="00F23237" w:rsidRPr="00F23237">
        <w:rPr>
          <w:rFonts w:ascii="Arial" w:hAnsi="Arial" w:cs="Arial"/>
          <w:b/>
          <w:bCs/>
          <w:sz w:val="22"/>
          <w:szCs w:val="22"/>
        </w:rPr>
        <w:t xml:space="preserve"> lo cual corresponde al 21.3% pendientes</w:t>
      </w:r>
      <w:r w:rsidR="004548BD">
        <w:rPr>
          <w:rFonts w:ascii="Arial" w:hAnsi="Arial" w:cs="Arial"/>
          <w:sz w:val="22"/>
          <w:szCs w:val="22"/>
        </w:rPr>
        <w:t xml:space="preserve">. </w:t>
      </w:r>
    </w:p>
    <w:p w14:paraId="0A5ABE2B" w14:textId="77777777" w:rsidR="00B730FC" w:rsidRDefault="00B730FC" w:rsidP="00AF3E75">
      <w:pPr>
        <w:jc w:val="both"/>
        <w:rPr>
          <w:rFonts w:ascii="Arial" w:hAnsi="Arial" w:cs="Arial"/>
          <w:sz w:val="22"/>
          <w:szCs w:val="22"/>
        </w:rPr>
      </w:pPr>
    </w:p>
    <w:p w14:paraId="2B55A0C1" w14:textId="77777777" w:rsidR="00B730FC" w:rsidRDefault="00B730FC" w:rsidP="00AF3E75">
      <w:pPr>
        <w:jc w:val="both"/>
        <w:rPr>
          <w:rFonts w:ascii="Arial" w:hAnsi="Arial" w:cs="Arial"/>
          <w:sz w:val="22"/>
          <w:szCs w:val="22"/>
        </w:rPr>
      </w:pPr>
    </w:p>
    <w:tbl>
      <w:tblPr>
        <w:tblStyle w:val="Tablaconcuadrcula"/>
        <w:tblW w:w="0" w:type="auto"/>
        <w:tblLook w:val="04A0" w:firstRow="1" w:lastRow="0" w:firstColumn="1" w:lastColumn="0" w:noHBand="0" w:noVBand="1"/>
      </w:tblPr>
      <w:tblGrid>
        <w:gridCol w:w="1261"/>
        <w:gridCol w:w="1261"/>
        <w:gridCol w:w="1261"/>
        <w:gridCol w:w="1261"/>
        <w:gridCol w:w="1261"/>
        <w:gridCol w:w="1261"/>
        <w:gridCol w:w="1262"/>
      </w:tblGrid>
      <w:tr w:rsidR="00A9243D" w14:paraId="282AD20B" w14:textId="77777777" w:rsidTr="00DC3012">
        <w:tc>
          <w:tcPr>
            <w:tcW w:w="1261" w:type="dxa"/>
          </w:tcPr>
          <w:p w14:paraId="5845475D" w14:textId="223123CC" w:rsidR="00DC3012" w:rsidRPr="00AF0F61" w:rsidRDefault="00A9243D" w:rsidP="00A9243D">
            <w:pPr>
              <w:jc w:val="center"/>
              <w:rPr>
                <w:rFonts w:ascii="Arial" w:hAnsi="Arial" w:cs="Arial"/>
                <w:sz w:val="18"/>
                <w:szCs w:val="18"/>
              </w:rPr>
            </w:pPr>
            <w:r w:rsidRPr="00AF0F61">
              <w:rPr>
                <w:rFonts w:ascii="Arial" w:hAnsi="Arial" w:cs="Arial"/>
                <w:sz w:val="18"/>
                <w:szCs w:val="18"/>
              </w:rPr>
              <w:t>Estado</w:t>
            </w:r>
          </w:p>
        </w:tc>
        <w:tc>
          <w:tcPr>
            <w:tcW w:w="1261" w:type="dxa"/>
          </w:tcPr>
          <w:p w14:paraId="74CFAB53" w14:textId="5B1361C8" w:rsidR="00DC3012" w:rsidRPr="00AF0F61" w:rsidRDefault="00A9243D" w:rsidP="00A9243D">
            <w:pPr>
              <w:jc w:val="center"/>
              <w:rPr>
                <w:rFonts w:ascii="Arial" w:hAnsi="Arial" w:cs="Arial"/>
                <w:sz w:val="18"/>
                <w:szCs w:val="18"/>
              </w:rPr>
            </w:pPr>
            <w:r w:rsidRPr="00AF0F61">
              <w:rPr>
                <w:rFonts w:ascii="Arial" w:hAnsi="Arial" w:cs="Arial"/>
                <w:sz w:val="18"/>
                <w:szCs w:val="18"/>
              </w:rPr>
              <w:t>Julio</w:t>
            </w:r>
          </w:p>
        </w:tc>
        <w:tc>
          <w:tcPr>
            <w:tcW w:w="1261" w:type="dxa"/>
          </w:tcPr>
          <w:p w14:paraId="5DEC889C" w14:textId="165BD8D8" w:rsidR="00DC3012" w:rsidRPr="00AF0F61" w:rsidRDefault="00A9243D" w:rsidP="00A9243D">
            <w:pPr>
              <w:jc w:val="center"/>
              <w:rPr>
                <w:rFonts w:ascii="Arial" w:hAnsi="Arial" w:cs="Arial"/>
                <w:sz w:val="18"/>
                <w:szCs w:val="18"/>
              </w:rPr>
            </w:pPr>
            <w:r w:rsidRPr="00AF0F61">
              <w:rPr>
                <w:rFonts w:ascii="Arial" w:hAnsi="Arial" w:cs="Arial"/>
                <w:sz w:val="18"/>
                <w:szCs w:val="18"/>
              </w:rPr>
              <w:t>Agosto</w:t>
            </w:r>
          </w:p>
        </w:tc>
        <w:tc>
          <w:tcPr>
            <w:tcW w:w="1261" w:type="dxa"/>
          </w:tcPr>
          <w:p w14:paraId="5641B372" w14:textId="03AABFDB" w:rsidR="00DC3012" w:rsidRPr="00AF0F61" w:rsidRDefault="00A9243D" w:rsidP="00A9243D">
            <w:pPr>
              <w:jc w:val="center"/>
              <w:rPr>
                <w:rFonts w:ascii="Arial" w:hAnsi="Arial" w:cs="Arial"/>
                <w:sz w:val="18"/>
                <w:szCs w:val="18"/>
              </w:rPr>
            </w:pPr>
            <w:r w:rsidRPr="00AF0F61">
              <w:rPr>
                <w:rFonts w:ascii="Arial" w:hAnsi="Arial" w:cs="Arial"/>
                <w:sz w:val="18"/>
                <w:szCs w:val="18"/>
              </w:rPr>
              <w:t>Septiembre</w:t>
            </w:r>
          </w:p>
        </w:tc>
        <w:tc>
          <w:tcPr>
            <w:tcW w:w="1261" w:type="dxa"/>
          </w:tcPr>
          <w:p w14:paraId="318DF009" w14:textId="259D4B63" w:rsidR="00DC3012" w:rsidRPr="00AF0F61" w:rsidRDefault="00DC3012" w:rsidP="00A9243D">
            <w:pPr>
              <w:jc w:val="center"/>
              <w:rPr>
                <w:rFonts w:ascii="Arial" w:hAnsi="Arial" w:cs="Arial"/>
                <w:sz w:val="18"/>
                <w:szCs w:val="18"/>
              </w:rPr>
            </w:pPr>
            <w:r w:rsidRPr="00AF0F61">
              <w:rPr>
                <w:rFonts w:ascii="Arial" w:hAnsi="Arial" w:cs="Arial"/>
                <w:sz w:val="18"/>
                <w:szCs w:val="18"/>
              </w:rPr>
              <w:t>Octubre</w:t>
            </w:r>
          </w:p>
        </w:tc>
        <w:tc>
          <w:tcPr>
            <w:tcW w:w="1261" w:type="dxa"/>
          </w:tcPr>
          <w:p w14:paraId="2D3E5805" w14:textId="040F0C94" w:rsidR="00DC3012" w:rsidRPr="00AF0F61" w:rsidRDefault="00DC3012" w:rsidP="00A9243D">
            <w:pPr>
              <w:jc w:val="center"/>
              <w:rPr>
                <w:rFonts w:ascii="Arial" w:hAnsi="Arial" w:cs="Arial"/>
                <w:sz w:val="18"/>
                <w:szCs w:val="18"/>
              </w:rPr>
            </w:pPr>
            <w:r w:rsidRPr="00AF0F61">
              <w:rPr>
                <w:rFonts w:ascii="Arial" w:hAnsi="Arial" w:cs="Arial"/>
                <w:sz w:val="18"/>
                <w:szCs w:val="18"/>
              </w:rPr>
              <w:t>Noviembre</w:t>
            </w:r>
          </w:p>
        </w:tc>
        <w:tc>
          <w:tcPr>
            <w:tcW w:w="1262" w:type="dxa"/>
          </w:tcPr>
          <w:p w14:paraId="4BC38DFC" w14:textId="52FAA826" w:rsidR="00DC3012" w:rsidRPr="00AF0F61" w:rsidRDefault="00DC3012" w:rsidP="00A9243D">
            <w:pPr>
              <w:jc w:val="center"/>
              <w:rPr>
                <w:rFonts w:ascii="Arial" w:hAnsi="Arial" w:cs="Arial"/>
                <w:sz w:val="18"/>
                <w:szCs w:val="18"/>
              </w:rPr>
            </w:pPr>
            <w:r w:rsidRPr="00AF0F61">
              <w:rPr>
                <w:rFonts w:ascii="Arial" w:hAnsi="Arial" w:cs="Arial"/>
                <w:sz w:val="18"/>
                <w:szCs w:val="18"/>
              </w:rPr>
              <w:t>Diciembre</w:t>
            </w:r>
          </w:p>
        </w:tc>
      </w:tr>
      <w:tr w:rsidR="00A9243D" w14:paraId="5640F048" w14:textId="77777777" w:rsidTr="00DC3012">
        <w:tc>
          <w:tcPr>
            <w:tcW w:w="1261" w:type="dxa"/>
          </w:tcPr>
          <w:p w14:paraId="0DC8AD24" w14:textId="34A3A6F3" w:rsidR="00DC3012" w:rsidRPr="00AF0F61" w:rsidRDefault="00A9243D" w:rsidP="00A9243D">
            <w:pPr>
              <w:jc w:val="center"/>
              <w:rPr>
                <w:rFonts w:ascii="Arial" w:hAnsi="Arial" w:cs="Arial"/>
                <w:sz w:val="18"/>
                <w:szCs w:val="18"/>
              </w:rPr>
            </w:pPr>
            <w:r w:rsidRPr="00AF0F61">
              <w:rPr>
                <w:rFonts w:ascii="Arial" w:hAnsi="Arial" w:cs="Arial"/>
                <w:sz w:val="18"/>
                <w:szCs w:val="18"/>
              </w:rPr>
              <w:t>SVISR Viviendas por ejecutar</w:t>
            </w:r>
          </w:p>
        </w:tc>
        <w:tc>
          <w:tcPr>
            <w:tcW w:w="1261" w:type="dxa"/>
          </w:tcPr>
          <w:p w14:paraId="66A6F9F2" w14:textId="4D219DAF" w:rsidR="00DC3012" w:rsidRPr="00AF0F61" w:rsidRDefault="00A9243D" w:rsidP="00A9243D">
            <w:pPr>
              <w:jc w:val="center"/>
              <w:rPr>
                <w:rFonts w:ascii="Arial" w:hAnsi="Arial" w:cs="Arial"/>
                <w:sz w:val="18"/>
                <w:szCs w:val="18"/>
              </w:rPr>
            </w:pPr>
            <w:r w:rsidRPr="00AF0F61">
              <w:rPr>
                <w:rFonts w:ascii="Arial" w:hAnsi="Arial" w:cs="Arial"/>
                <w:sz w:val="18"/>
                <w:szCs w:val="18"/>
              </w:rPr>
              <w:t>23.800</w:t>
            </w:r>
          </w:p>
        </w:tc>
        <w:tc>
          <w:tcPr>
            <w:tcW w:w="1261" w:type="dxa"/>
          </w:tcPr>
          <w:p w14:paraId="2ECF97C6" w14:textId="37C0EDD3" w:rsidR="00DC3012" w:rsidRPr="00AF0F61" w:rsidRDefault="00A9243D" w:rsidP="00A9243D">
            <w:pPr>
              <w:jc w:val="center"/>
              <w:rPr>
                <w:rFonts w:ascii="Arial" w:hAnsi="Arial" w:cs="Arial"/>
                <w:sz w:val="18"/>
                <w:szCs w:val="18"/>
              </w:rPr>
            </w:pPr>
            <w:r w:rsidRPr="00AF0F61">
              <w:rPr>
                <w:rFonts w:ascii="Arial" w:hAnsi="Arial" w:cs="Arial"/>
                <w:sz w:val="18"/>
                <w:szCs w:val="18"/>
              </w:rPr>
              <w:t>23,694</w:t>
            </w:r>
          </w:p>
        </w:tc>
        <w:tc>
          <w:tcPr>
            <w:tcW w:w="1261" w:type="dxa"/>
          </w:tcPr>
          <w:p w14:paraId="6CFE5F1E" w14:textId="5F2F9A1C" w:rsidR="00DC3012" w:rsidRPr="00AF0F61" w:rsidRDefault="00A9243D" w:rsidP="00A9243D">
            <w:pPr>
              <w:jc w:val="center"/>
              <w:rPr>
                <w:rFonts w:ascii="Arial" w:hAnsi="Arial" w:cs="Arial"/>
                <w:sz w:val="18"/>
                <w:szCs w:val="18"/>
              </w:rPr>
            </w:pPr>
            <w:r w:rsidRPr="00AF0F61">
              <w:rPr>
                <w:rFonts w:ascii="Arial" w:hAnsi="Arial" w:cs="Arial"/>
                <w:sz w:val="18"/>
                <w:szCs w:val="18"/>
              </w:rPr>
              <w:t>23.520</w:t>
            </w:r>
          </w:p>
        </w:tc>
        <w:tc>
          <w:tcPr>
            <w:tcW w:w="1261" w:type="dxa"/>
          </w:tcPr>
          <w:p w14:paraId="7593FA15" w14:textId="1DE3CC13" w:rsidR="00DC3012" w:rsidRPr="00AF0F61" w:rsidRDefault="00A9243D" w:rsidP="00A9243D">
            <w:pPr>
              <w:jc w:val="center"/>
              <w:rPr>
                <w:rFonts w:ascii="Arial" w:hAnsi="Arial" w:cs="Arial"/>
                <w:sz w:val="18"/>
                <w:szCs w:val="18"/>
              </w:rPr>
            </w:pPr>
            <w:r w:rsidRPr="00AF0F61">
              <w:rPr>
                <w:rFonts w:ascii="Arial" w:hAnsi="Arial" w:cs="Arial"/>
                <w:sz w:val="18"/>
                <w:szCs w:val="18"/>
              </w:rPr>
              <w:t>23,323</w:t>
            </w:r>
          </w:p>
        </w:tc>
        <w:tc>
          <w:tcPr>
            <w:tcW w:w="1261" w:type="dxa"/>
          </w:tcPr>
          <w:p w14:paraId="48EDDEF4" w14:textId="1E7E9961" w:rsidR="00DC3012" w:rsidRPr="00AF0F61" w:rsidRDefault="00AF0F61" w:rsidP="00A9243D">
            <w:pPr>
              <w:jc w:val="center"/>
              <w:rPr>
                <w:rFonts w:ascii="Arial" w:hAnsi="Arial" w:cs="Arial"/>
                <w:sz w:val="18"/>
                <w:szCs w:val="18"/>
              </w:rPr>
            </w:pPr>
            <w:r w:rsidRPr="00AF0F61">
              <w:rPr>
                <w:rFonts w:ascii="Arial" w:hAnsi="Arial" w:cs="Arial"/>
                <w:sz w:val="18"/>
                <w:szCs w:val="18"/>
              </w:rPr>
              <w:t>23.267</w:t>
            </w:r>
          </w:p>
        </w:tc>
        <w:tc>
          <w:tcPr>
            <w:tcW w:w="1262" w:type="dxa"/>
          </w:tcPr>
          <w:p w14:paraId="688F230F" w14:textId="245681B8" w:rsidR="00DC3012" w:rsidRPr="00AF0F61" w:rsidRDefault="00AF0F61" w:rsidP="00A9243D">
            <w:pPr>
              <w:jc w:val="center"/>
              <w:rPr>
                <w:rFonts w:ascii="Arial" w:hAnsi="Arial" w:cs="Arial"/>
                <w:sz w:val="18"/>
                <w:szCs w:val="18"/>
              </w:rPr>
            </w:pPr>
            <w:r w:rsidRPr="00AF0F61">
              <w:rPr>
                <w:rFonts w:ascii="Arial" w:hAnsi="Arial" w:cs="Arial"/>
                <w:sz w:val="18"/>
                <w:szCs w:val="18"/>
              </w:rPr>
              <w:t>22.932</w:t>
            </w:r>
          </w:p>
        </w:tc>
      </w:tr>
    </w:tbl>
    <w:p w14:paraId="69EC9721" w14:textId="4C60A0AE" w:rsidR="007A6E4C" w:rsidRDefault="00100FF2" w:rsidP="00520C8C">
      <w:pPr>
        <w:jc w:val="right"/>
        <w:rPr>
          <w:rFonts w:ascii="Arial" w:hAnsi="Arial" w:cs="Arial"/>
          <w:sz w:val="22"/>
          <w:szCs w:val="22"/>
        </w:rPr>
      </w:pPr>
      <w:r>
        <w:rPr>
          <w:rFonts w:ascii="Arial" w:hAnsi="Arial" w:cs="Arial"/>
          <w:sz w:val="22"/>
          <w:szCs w:val="22"/>
        </w:rPr>
        <w:t>Fuente propia a partir de</w:t>
      </w:r>
      <w:r w:rsidR="00C00B01">
        <w:rPr>
          <w:rFonts w:ascii="Arial" w:hAnsi="Arial" w:cs="Arial"/>
          <w:sz w:val="22"/>
          <w:szCs w:val="22"/>
        </w:rPr>
        <w:t xml:space="preserve">l informe de gestión </w:t>
      </w:r>
      <w:r w:rsidR="00520C8C">
        <w:rPr>
          <w:rFonts w:ascii="Arial" w:hAnsi="Arial" w:cs="Arial"/>
          <w:sz w:val="22"/>
          <w:szCs w:val="22"/>
        </w:rPr>
        <w:t>BAC</w:t>
      </w:r>
      <w:r w:rsidR="00AF0F61">
        <w:rPr>
          <w:rFonts w:ascii="Arial" w:hAnsi="Arial" w:cs="Arial"/>
          <w:sz w:val="22"/>
          <w:szCs w:val="22"/>
        </w:rPr>
        <w:t xml:space="preserve"> GV-0054</w:t>
      </w:r>
    </w:p>
    <w:p w14:paraId="15E00F39" w14:textId="77777777" w:rsidR="007A6E4C" w:rsidRPr="00D40779" w:rsidRDefault="007A6E4C" w:rsidP="00AF3E75">
      <w:pPr>
        <w:jc w:val="both"/>
        <w:rPr>
          <w:rFonts w:ascii="Arial" w:hAnsi="Arial" w:cs="Arial"/>
          <w:lang w:val="es-ES_tradnl"/>
        </w:rPr>
      </w:pPr>
    </w:p>
    <w:p w14:paraId="06D30C7C" w14:textId="7A649E92" w:rsidR="00AF3E75" w:rsidRDefault="004548BD" w:rsidP="00AF3E75">
      <w:pPr>
        <w:jc w:val="both"/>
        <w:rPr>
          <w:rFonts w:ascii="Arial" w:hAnsi="Arial" w:cs="Arial"/>
          <w:lang w:val="es-ES_tradnl"/>
        </w:rPr>
      </w:pPr>
      <w:r w:rsidRPr="00D40779">
        <w:rPr>
          <w:rFonts w:ascii="Arial" w:hAnsi="Arial" w:cs="Arial"/>
          <w:lang w:val="es-ES_tradnl"/>
        </w:rPr>
        <w:t xml:space="preserve">Es preciso informar que el Banco ha manifestado que el esquema </w:t>
      </w:r>
      <w:r w:rsidR="004432AD" w:rsidRPr="00D40779">
        <w:rPr>
          <w:rFonts w:ascii="Arial" w:hAnsi="Arial" w:cs="Arial"/>
          <w:lang w:val="es-ES_tradnl"/>
        </w:rPr>
        <w:t xml:space="preserve">de administración, contratación y ejecución </w:t>
      </w:r>
      <w:r w:rsidR="00A72F88" w:rsidRPr="00D40779">
        <w:rPr>
          <w:rFonts w:ascii="Arial" w:hAnsi="Arial" w:cs="Arial"/>
          <w:lang w:val="es-ES_tradnl"/>
        </w:rPr>
        <w:t xml:space="preserve">es </w:t>
      </w:r>
      <w:r w:rsidR="004432AD" w:rsidRPr="00D40779">
        <w:rPr>
          <w:rFonts w:ascii="Arial" w:hAnsi="Arial" w:cs="Arial"/>
          <w:lang w:val="es-ES_tradnl"/>
        </w:rPr>
        <w:t>complejo</w:t>
      </w:r>
      <w:r w:rsidR="00A72F88" w:rsidRPr="00D40779">
        <w:rPr>
          <w:rFonts w:ascii="Arial" w:hAnsi="Arial" w:cs="Arial"/>
          <w:lang w:val="es-ES_tradnl"/>
        </w:rPr>
        <w:t xml:space="preserve"> y ello </w:t>
      </w:r>
      <w:r w:rsidR="004432AD" w:rsidRPr="00D40779">
        <w:rPr>
          <w:rFonts w:ascii="Arial" w:hAnsi="Arial" w:cs="Arial"/>
          <w:lang w:val="es-ES_tradnl"/>
        </w:rPr>
        <w:t>dificulta la misión final de entrega del subsidio al beneficiario</w:t>
      </w:r>
      <w:r w:rsidR="00D40779">
        <w:rPr>
          <w:rFonts w:ascii="Arial" w:hAnsi="Arial" w:cs="Arial"/>
          <w:lang w:val="es-ES_tradnl"/>
        </w:rPr>
        <w:t>, por tanto</w:t>
      </w:r>
      <w:r w:rsidR="00A650F9">
        <w:rPr>
          <w:rFonts w:ascii="Arial" w:hAnsi="Arial" w:cs="Arial"/>
          <w:lang w:val="es-ES_tradnl"/>
        </w:rPr>
        <w:t xml:space="preserve">, </w:t>
      </w:r>
      <w:r w:rsidR="00214598">
        <w:rPr>
          <w:rFonts w:ascii="Arial" w:hAnsi="Arial" w:cs="Arial"/>
          <w:lang w:val="es-ES_tradnl"/>
        </w:rPr>
        <w:t xml:space="preserve">este aspecto se tendrá en cuenta para efectos del plan de acción derivado de </w:t>
      </w:r>
      <w:r w:rsidR="0091444B">
        <w:rPr>
          <w:rFonts w:ascii="Arial" w:hAnsi="Arial" w:cs="Arial"/>
          <w:lang w:val="es-ES_tradnl"/>
        </w:rPr>
        <w:t>los resultados de la auditoría</w:t>
      </w:r>
      <w:r w:rsidR="00A650F9">
        <w:rPr>
          <w:rFonts w:ascii="Arial" w:hAnsi="Arial" w:cs="Arial"/>
          <w:lang w:val="es-ES_tradnl"/>
        </w:rPr>
        <w:t xml:space="preserve"> que se encuentra en ejecución al momento de elaborar este informe con el </w:t>
      </w:r>
      <w:r w:rsidR="006D28B1">
        <w:rPr>
          <w:rFonts w:ascii="Arial" w:hAnsi="Arial" w:cs="Arial"/>
          <w:lang w:val="es-ES_tradnl"/>
        </w:rPr>
        <w:t>contrato 20250707</w:t>
      </w:r>
      <w:r w:rsidR="004432AD" w:rsidRPr="00D40779">
        <w:rPr>
          <w:rFonts w:ascii="Arial" w:hAnsi="Arial" w:cs="Arial"/>
          <w:lang w:val="es-ES_tradnl"/>
        </w:rPr>
        <w:t>.</w:t>
      </w:r>
    </w:p>
    <w:p w14:paraId="3A87C84B" w14:textId="77777777" w:rsidR="00AF3E75" w:rsidRDefault="00AF3E75" w:rsidP="00AF3E75">
      <w:pPr>
        <w:jc w:val="both"/>
        <w:rPr>
          <w:rFonts w:ascii="Arial" w:hAnsi="Arial" w:cs="Arial"/>
          <w:sz w:val="22"/>
          <w:szCs w:val="22"/>
          <w:lang w:val="es-ES_tradnl"/>
        </w:rPr>
      </w:pPr>
    </w:p>
    <w:p w14:paraId="4FF39224" w14:textId="527FCE9C" w:rsidR="00782B06" w:rsidRDefault="001F0D52" w:rsidP="00AF3E75">
      <w:pPr>
        <w:jc w:val="both"/>
        <w:rPr>
          <w:rFonts w:ascii="Arial" w:hAnsi="Arial" w:cs="Arial"/>
          <w:lang w:val="es-ES_tradnl"/>
        </w:rPr>
      </w:pPr>
      <w:r>
        <w:rPr>
          <w:rFonts w:ascii="Arial" w:hAnsi="Arial" w:cs="Arial"/>
          <w:lang w:val="es-ES_tradnl"/>
        </w:rPr>
        <w:t>E</w:t>
      </w:r>
      <w:r w:rsidR="00AF3E75">
        <w:rPr>
          <w:rFonts w:ascii="Arial" w:hAnsi="Arial" w:cs="Arial"/>
          <w:lang w:val="es-ES_tradnl"/>
        </w:rPr>
        <w:t xml:space="preserve">n cumplimiento con lo establecido en el Plan Nacional de Desarrollo 2023-2026 adoptado mediante la Ley 2294 de 2023, durante esta vigencia ha sido prioridad la contratación de la auditoría, </w:t>
      </w:r>
      <w:r w:rsidR="00A72F88">
        <w:rPr>
          <w:rFonts w:ascii="Arial" w:hAnsi="Arial" w:cs="Arial"/>
          <w:lang w:val="es-ES_tradnl"/>
        </w:rPr>
        <w:t>por tanto</w:t>
      </w:r>
      <w:r w:rsidR="007B45F8">
        <w:rPr>
          <w:rFonts w:ascii="Arial" w:hAnsi="Arial" w:cs="Arial"/>
          <w:lang w:val="es-ES_tradnl"/>
        </w:rPr>
        <w:t>,</w:t>
      </w:r>
      <w:r w:rsidR="00A72F88">
        <w:rPr>
          <w:rFonts w:ascii="Arial" w:hAnsi="Arial" w:cs="Arial"/>
          <w:lang w:val="es-ES_tradnl"/>
        </w:rPr>
        <w:t xml:space="preserve"> la Dirección de Gestión de Bienes Públicos rurales logró la celebración del </w:t>
      </w:r>
      <w:r w:rsidR="00AF3E75">
        <w:rPr>
          <w:rFonts w:ascii="Arial" w:hAnsi="Arial" w:cs="Arial"/>
          <w:lang w:val="es-ES_tradnl"/>
        </w:rPr>
        <w:t>contrato 20250707</w:t>
      </w:r>
      <w:r w:rsidR="005F23A2">
        <w:rPr>
          <w:rFonts w:ascii="Arial" w:hAnsi="Arial" w:cs="Arial"/>
          <w:lang w:val="es-ES_tradnl"/>
        </w:rPr>
        <w:t xml:space="preserve"> con el Consorcio </w:t>
      </w:r>
      <w:proofErr w:type="spellStart"/>
      <w:r w:rsidR="005F23A2">
        <w:rPr>
          <w:rFonts w:ascii="Arial" w:hAnsi="Arial" w:cs="Arial"/>
          <w:lang w:val="es-ES_tradnl"/>
        </w:rPr>
        <w:t>Audiviv</w:t>
      </w:r>
      <w:proofErr w:type="spellEnd"/>
      <w:r w:rsidR="005F23A2">
        <w:rPr>
          <w:rFonts w:ascii="Arial" w:hAnsi="Arial" w:cs="Arial"/>
          <w:lang w:val="es-ES_tradnl"/>
        </w:rPr>
        <w:t xml:space="preserve"> </w:t>
      </w:r>
      <w:r w:rsidR="00B50603">
        <w:rPr>
          <w:rFonts w:ascii="Arial" w:hAnsi="Arial" w:cs="Arial"/>
          <w:lang w:val="es-ES_tradnl"/>
        </w:rPr>
        <w:t xml:space="preserve">cuyo objeto fue </w:t>
      </w:r>
      <w:r w:rsidR="003920EE" w:rsidRPr="00650B0F">
        <w:rPr>
          <w:rFonts w:ascii="Arial" w:hAnsi="Arial" w:cs="Arial"/>
          <w:i/>
          <w:iCs/>
          <w:lang w:val="es-ES_tradnl"/>
        </w:rPr>
        <w:t>“</w:t>
      </w:r>
      <w:r w:rsidR="003920EE" w:rsidRPr="00650B0F">
        <w:rPr>
          <w:rFonts w:ascii="Arial" w:hAnsi="Arial" w:cs="Arial"/>
          <w:i/>
          <w:iCs/>
          <w:lang w:val="es-ES"/>
        </w:rPr>
        <w:t xml:space="preserve">Realizar una auditoría externa para verificar el estado actual del programa de subsidio familiar de vivienda de interés social y prioritario rural otorgado y operado por el </w:t>
      </w:r>
      <w:r w:rsidR="007370DE">
        <w:rPr>
          <w:rFonts w:ascii="Arial" w:hAnsi="Arial" w:cs="Arial"/>
          <w:i/>
          <w:iCs/>
          <w:lang w:val="es-ES"/>
        </w:rPr>
        <w:t>B</w:t>
      </w:r>
      <w:r w:rsidR="003920EE" w:rsidRPr="00650B0F">
        <w:rPr>
          <w:rFonts w:ascii="Arial" w:hAnsi="Arial" w:cs="Arial"/>
          <w:i/>
          <w:iCs/>
          <w:lang w:val="es-ES"/>
        </w:rPr>
        <w:t xml:space="preserve">anco </w:t>
      </w:r>
      <w:r w:rsidR="007370DE">
        <w:rPr>
          <w:rFonts w:ascii="Arial" w:hAnsi="Arial" w:cs="Arial"/>
          <w:i/>
          <w:iCs/>
          <w:lang w:val="es-ES"/>
        </w:rPr>
        <w:t>A</w:t>
      </w:r>
      <w:r w:rsidR="003920EE" w:rsidRPr="00650B0F">
        <w:rPr>
          <w:rFonts w:ascii="Arial" w:hAnsi="Arial" w:cs="Arial"/>
          <w:i/>
          <w:iCs/>
          <w:lang w:val="es-ES"/>
        </w:rPr>
        <w:t xml:space="preserve">grario de </w:t>
      </w:r>
      <w:r w:rsidR="007370DE">
        <w:rPr>
          <w:rFonts w:ascii="Arial" w:hAnsi="Arial" w:cs="Arial"/>
          <w:i/>
          <w:iCs/>
          <w:lang w:val="es-ES"/>
        </w:rPr>
        <w:t>C</w:t>
      </w:r>
      <w:r w:rsidR="003920EE" w:rsidRPr="00650B0F">
        <w:rPr>
          <w:rFonts w:ascii="Arial" w:hAnsi="Arial" w:cs="Arial"/>
          <w:i/>
          <w:iCs/>
          <w:lang w:val="es-ES"/>
        </w:rPr>
        <w:t xml:space="preserve">olombia </w:t>
      </w:r>
      <w:r w:rsidR="007370DE">
        <w:rPr>
          <w:rFonts w:ascii="Arial" w:hAnsi="Arial" w:cs="Arial"/>
          <w:i/>
          <w:iCs/>
          <w:lang w:val="es-ES"/>
        </w:rPr>
        <w:t>S</w:t>
      </w:r>
      <w:r w:rsidR="003920EE" w:rsidRPr="00650B0F">
        <w:rPr>
          <w:rFonts w:ascii="Arial" w:hAnsi="Arial" w:cs="Arial"/>
          <w:i/>
          <w:iCs/>
          <w:lang w:val="es-ES"/>
        </w:rPr>
        <w:t>.</w:t>
      </w:r>
      <w:r w:rsidR="007370DE">
        <w:rPr>
          <w:rFonts w:ascii="Arial" w:hAnsi="Arial" w:cs="Arial"/>
          <w:i/>
          <w:iCs/>
          <w:lang w:val="es-ES"/>
        </w:rPr>
        <w:t>A</w:t>
      </w:r>
      <w:r w:rsidR="003920EE" w:rsidRPr="00650B0F">
        <w:rPr>
          <w:rFonts w:ascii="Arial" w:hAnsi="Arial" w:cs="Arial"/>
          <w:i/>
          <w:iCs/>
          <w:lang w:val="es-ES"/>
        </w:rPr>
        <w:t xml:space="preserve">, correspondiente al periodo 2000 a 2017, conforme lo previsto en el artículo 295 de la ley 2294 de 2023, </w:t>
      </w:r>
      <w:r w:rsidR="003920EE" w:rsidRPr="00650B0F">
        <w:rPr>
          <w:rFonts w:ascii="Arial" w:hAnsi="Arial" w:cs="Arial"/>
          <w:i/>
          <w:iCs/>
          <w:lang w:val="es-ES"/>
        </w:rPr>
        <w:lastRenderedPageBreak/>
        <w:t>"cierre programa de subsidio familiar de vivienda de interés social y prioritario”</w:t>
      </w:r>
      <w:r w:rsidR="00341755" w:rsidRPr="00650B0F">
        <w:rPr>
          <w:rFonts w:ascii="Arial" w:hAnsi="Arial" w:cs="Arial"/>
          <w:i/>
          <w:iCs/>
          <w:lang w:val="es-ES_tradnl"/>
        </w:rPr>
        <w:t>,</w:t>
      </w:r>
      <w:r w:rsidR="00341755">
        <w:rPr>
          <w:rFonts w:ascii="Arial" w:hAnsi="Arial" w:cs="Arial"/>
          <w:lang w:val="es-ES_tradnl"/>
        </w:rPr>
        <w:t xml:space="preserve"> e</w:t>
      </w:r>
      <w:r>
        <w:rPr>
          <w:rFonts w:ascii="Arial" w:hAnsi="Arial" w:cs="Arial"/>
          <w:lang w:val="es-ES_tradnl"/>
        </w:rPr>
        <w:t xml:space="preserve">l contrato en mención se ejecutó desde el </w:t>
      </w:r>
      <w:r w:rsidR="00782B06">
        <w:rPr>
          <w:rFonts w:ascii="Arial" w:hAnsi="Arial" w:cs="Arial"/>
          <w:lang w:val="es-ES_tradnl"/>
        </w:rPr>
        <w:t xml:space="preserve">15 de agosto </w:t>
      </w:r>
      <w:r>
        <w:rPr>
          <w:rFonts w:ascii="Arial" w:hAnsi="Arial" w:cs="Arial"/>
          <w:lang w:val="es-ES_tradnl"/>
        </w:rPr>
        <w:t>hasta el 31 de diciembre de 2025</w:t>
      </w:r>
      <w:r w:rsidR="0015735F">
        <w:rPr>
          <w:rFonts w:ascii="Arial" w:hAnsi="Arial" w:cs="Arial"/>
          <w:lang w:val="es-ES_tradnl"/>
        </w:rPr>
        <w:t xml:space="preserve"> </w:t>
      </w:r>
      <w:r w:rsidR="00782B06">
        <w:rPr>
          <w:rFonts w:ascii="Arial" w:hAnsi="Arial" w:cs="Arial"/>
          <w:lang w:val="es-ES_tradnl"/>
        </w:rPr>
        <w:t xml:space="preserve">hasta la fecha de presentación de este informe, </w:t>
      </w:r>
      <w:r w:rsidR="008B2318">
        <w:rPr>
          <w:rFonts w:ascii="Arial" w:hAnsi="Arial" w:cs="Arial"/>
          <w:lang w:val="es-ES_tradnl"/>
        </w:rPr>
        <w:t xml:space="preserve">el Consorcio </w:t>
      </w:r>
      <w:proofErr w:type="spellStart"/>
      <w:r w:rsidR="008B2318">
        <w:rPr>
          <w:rFonts w:ascii="Arial" w:hAnsi="Arial" w:cs="Arial"/>
          <w:lang w:val="es-ES_tradnl"/>
        </w:rPr>
        <w:t>Audiviv</w:t>
      </w:r>
      <w:proofErr w:type="spellEnd"/>
      <w:r w:rsidR="008B2318">
        <w:rPr>
          <w:rFonts w:ascii="Arial" w:hAnsi="Arial" w:cs="Arial"/>
          <w:lang w:val="es-ES_tradnl"/>
        </w:rPr>
        <w:t xml:space="preserve"> </w:t>
      </w:r>
      <w:r w:rsidR="000E1E4A">
        <w:rPr>
          <w:rFonts w:ascii="Arial" w:hAnsi="Arial" w:cs="Arial"/>
          <w:lang w:val="es-ES_tradnl"/>
        </w:rPr>
        <w:t xml:space="preserve">cumplió la etapa de registro de visitas y análisis financiero y jurídico. </w:t>
      </w:r>
    </w:p>
    <w:p w14:paraId="0A7D5663" w14:textId="77777777" w:rsidR="00213B0C" w:rsidRDefault="00213B0C" w:rsidP="00AF3E75">
      <w:pPr>
        <w:jc w:val="both"/>
        <w:rPr>
          <w:rFonts w:ascii="Arial" w:hAnsi="Arial" w:cs="Arial"/>
          <w:lang w:val="es-ES_tradnl"/>
        </w:rPr>
      </w:pPr>
    </w:p>
    <w:p w14:paraId="4D163B9B" w14:textId="696D7C4C" w:rsidR="005D64B5" w:rsidRPr="00CD26F2" w:rsidRDefault="0022078F" w:rsidP="005F760B">
      <w:pPr>
        <w:pStyle w:val="Ttulo1"/>
        <w:numPr>
          <w:ilvl w:val="1"/>
          <w:numId w:val="7"/>
        </w:numPr>
        <w:spacing w:before="0"/>
        <w:jc w:val="both"/>
        <w:rPr>
          <w:rFonts w:ascii="Arial" w:hAnsi="Arial" w:cs="Arial"/>
          <w:b/>
          <w:bCs/>
          <w:color w:val="385623" w:themeColor="accent6" w:themeShade="80"/>
          <w:sz w:val="22"/>
          <w:szCs w:val="22"/>
          <w:lang w:val="es-ES_tradnl"/>
        </w:rPr>
      </w:pPr>
      <w:bookmarkStart w:id="21" w:name="_Toc225874783"/>
      <w:r w:rsidRPr="00CD26F2">
        <w:rPr>
          <w:rFonts w:ascii="Arial" w:hAnsi="Arial" w:cs="Arial"/>
          <w:b/>
          <w:bCs/>
          <w:color w:val="385623" w:themeColor="accent6" w:themeShade="80"/>
          <w:sz w:val="22"/>
          <w:szCs w:val="22"/>
          <w:lang w:val="es-ES_tradnl"/>
        </w:rPr>
        <w:t xml:space="preserve">Regionalización de </w:t>
      </w:r>
      <w:r w:rsidR="005D64B5" w:rsidRPr="00CD26F2">
        <w:rPr>
          <w:rFonts w:ascii="Arial" w:hAnsi="Arial" w:cs="Arial"/>
          <w:b/>
          <w:bCs/>
          <w:color w:val="385623" w:themeColor="accent6" w:themeShade="80"/>
          <w:sz w:val="22"/>
          <w:szCs w:val="22"/>
          <w:lang w:val="es-ES_tradnl"/>
        </w:rPr>
        <w:t xml:space="preserve">Beneficiarios </w:t>
      </w:r>
      <w:r w:rsidR="0062259A" w:rsidRPr="00CD26F2">
        <w:rPr>
          <w:rFonts w:ascii="Arial" w:hAnsi="Arial" w:cs="Arial"/>
          <w:b/>
          <w:bCs/>
          <w:color w:val="385623" w:themeColor="accent6" w:themeShade="80"/>
          <w:sz w:val="22"/>
          <w:szCs w:val="22"/>
          <w:lang w:val="es-ES_tradnl"/>
        </w:rPr>
        <w:t>O</w:t>
      </w:r>
      <w:r w:rsidR="005D64B5" w:rsidRPr="00CD26F2">
        <w:rPr>
          <w:rFonts w:ascii="Arial" w:hAnsi="Arial" w:cs="Arial"/>
          <w:b/>
          <w:bCs/>
          <w:color w:val="385623" w:themeColor="accent6" w:themeShade="80"/>
          <w:sz w:val="22"/>
          <w:szCs w:val="22"/>
          <w:lang w:val="es-ES_tradnl"/>
        </w:rPr>
        <w:t>torgados</w:t>
      </w:r>
      <w:r w:rsidRPr="00CD26F2">
        <w:rPr>
          <w:rFonts w:ascii="Arial" w:hAnsi="Arial" w:cs="Arial"/>
          <w:b/>
          <w:bCs/>
          <w:color w:val="385623" w:themeColor="accent6" w:themeShade="80"/>
          <w:sz w:val="22"/>
          <w:szCs w:val="22"/>
          <w:lang w:val="es-ES_tradnl"/>
        </w:rPr>
        <w:t xml:space="preserve"> y </w:t>
      </w:r>
      <w:r w:rsidR="0062259A" w:rsidRPr="00CD26F2">
        <w:rPr>
          <w:rFonts w:ascii="Arial" w:hAnsi="Arial" w:cs="Arial"/>
          <w:b/>
          <w:bCs/>
          <w:color w:val="385623" w:themeColor="accent6" w:themeShade="80"/>
          <w:sz w:val="22"/>
          <w:szCs w:val="22"/>
          <w:lang w:val="es-ES_tradnl"/>
        </w:rPr>
        <w:t>A</w:t>
      </w:r>
      <w:r w:rsidRPr="00CD26F2">
        <w:rPr>
          <w:rFonts w:ascii="Arial" w:hAnsi="Arial" w:cs="Arial"/>
          <w:b/>
          <w:bCs/>
          <w:color w:val="385623" w:themeColor="accent6" w:themeShade="80"/>
          <w:sz w:val="22"/>
          <w:szCs w:val="22"/>
          <w:lang w:val="es-ES_tradnl"/>
        </w:rPr>
        <w:t xml:space="preserve">vance de </w:t>
      </w:r>
      <w:r w:rsidR="0062259A" w:rsidRPr="00CD26F2">
        <w:rPr>
          <w:rFonts w:ascii="Arial" w:hAnsi="Arial" w:cs="Arial"/>
          <w:b/>
          <w:bCs/>
          <w:color w:val="385623" w:themeColor="accent6" w:themeShade="80"/>
          <w:sz w:val="22"/>
          <w:szCs w:val="22"/>
          <w:lang w:val="es-ES_tradnl"/>
        </w:rPr>
        <w:t>E</w:t>
      </w:r>
      <w:r w:rsidRPr="00CD26F2">
        <w:rPr>
          <w:rFonts w:ascii="Arial" w:hAnsi="Arial" w:cs="Arial"/>
          <w:b/>
          <w:bCs/>
          <w:color w:val="385623" w:themeColor="accent6" w:themeShade="80"/>
          <w:sz w:val="22"/>
          <w:szCs w:val="22"/>
          <w:lang w:val="es-ES_tradnl"/>
        </w:rPr>
        <w:t>ntregas</w:t>
      </w:r>
      <w:bookmarkEnd w:id="21"/>
    </w:p>
    <w:p w14:paraId="68F97F79" w14:textId="77777777" w:rsidR="005D64B5" w:rsidRPr="00CB24C7" w:rsidRDefault="005D64B5" w:rsidP="00CB24C7">
      <w:pPr>
        <w:rPr>
          <w:rFonts w:ascii="Arial" w:hAnsi="Arial" w:cs="Arial"/>
          <w:sz w:val="22"/>
          <w:szCs w:val="22"/>
          <w:lang w:val="es-ES_tradnl"/>
        </w:rPr>
      </w:pPr>
    </w:p>
    <w:p w14:paraId="4FE7FF67" w14:textId="161D8086" w:rsidR="00DA2908" w:rsidRDefault="006F4FB9" w:rsidP="00CB24C7">
      <w:pPr>
        <w:jc w:val="both"/>
        <w:rPr>
          <w:rFonts w:ascii="Arial" w:hAnsi="Arial" w:cs="Arial"/>
          <w:sz w:val="22"/>
          <w:szCs w:val="22"/>
          <w:lang w:val="es-ES_tradnl"/>
        </w:rPr>
      </w:pPr>
      <w:r>
        <w:rPr>
          <w:rFonts w:ascii="Arial" w:hAnsi="Arial" w:cs="Arial"/>
          <w:sz w:val="22"/>
          <w:szCs w:val="22"/>
          <w:lang w:val="es-ES_tradnl"/>
        </w:rPr>
        <w:t xml:space="preserve">De conformidad con las bases de datos preparadas por el Banco Agrario de Colombia </w:t>
      </w:r>
      <w:r w:rsidR="005D64B5" w:rsidRPr="00CB24C7">
        <w:rPr>
          <w:rFonts w:ascii="Arial" w:hAnsi="Arial" w:cs="Arial"/>
          <w:sz w:val="22"/>
          <w:szCs w:val="22"/>
          <w:lang w:val="es-ES_tradnl"/>
        </w:rPr>
        <w:t>Para las vigencias 2000-2017 fueron asignados 2</w:t>
      </w:r>
      <w:r w:rsidR="003B6B7F">
        <w:rPr>
          <w:rFonts w:ascii="Arial" w:hAnsi="Arial" w:cs="Arial"/>
          <w:sz w:val="22"/>
          <w:szCs w:val="22"/>
          <w:lang w:val="es-ES_tradnl"/>
        </w:rPr>
        <w:t>21</w:t>
      </w:r>
      <w:r w:rsidR="005D64B5" w:rsidRPr="00CB24C7">
        <w:rPr>
          <w:rFonts w:ascii="Arial" w:hAnsi="Arial" w:cs="Arial"/>
          <w:sz w:val="22"/>
          <w:szCs w:val="22"/>
          <w:lang w:val="es-ES_tradnl"/>
        </w:rPr>
        <w:t>.</w:t>
      </w:r>
      <w:r w:rsidR="003B6B7F">
        <w:rPr>
          <w:rFonts w:ascii="Arial" w:hAnsi="Arial" w:cs="Arial"/>
          <w:sz w:val="22"/>
          <w:szCs w:val="22"/>
          <w:lang w:val="es-ES_tradnl"/>
        </w:rPr>
        <w:t>4</w:t>
      </w:r>
      <w:r w:rsidR="006C790F">
        <w:rPr>
          <w:rFonts w:ascii="Arial" w:hAnsi="Arial" w:cs="Arial"/>
          <w:sz w:val="22"/>
          <w:szCs w:val="22"/>
          <w:lang w:val="es-ES_tradnl"/>
        </w:rPr>
        <w:t>59</w:t>
      </w:r>
      <w:r w:rsidR="005D64B5" w:rsidRPr="00CB24C7">
        <w:rPr>
          <w:rFonts w:ascii="Arial" w:hAnsi="Arial" w:cs="Arial"/>
          <w:sz w:val="22"/>
          <w:szCs w:val="22"/>
          <w:lang w:val="es-ES_tradnl"/>
        </w:rPr>
        <w:t xml:space="preserve"> subsidios para vivienda de interés social rural (</w:t>
      </w:r>
      <w:r w:rsidR="00036283">
        <w:rPr>
          <w:rFonts w:ascii="Arial" w:hAnsi="Arial" w:cs="Arial"/>
          <w:sz w:val="22"/>
          <w:szCs w:val="22"/>
          <w:lang w:val="es-ES_tradnl"/>
        </w:rPr>
        <w:t>74.685</w:t>
      </w:r>
      <w:r w:rsidR="005D64B5" w:rsidRPr="00CB24C7">
        <w:rPr>
          <w:rFonts w:ascii="Arial" w:hAnsi="Arial" w:cs="Arial"/>
          <w:sz w:val="22"/>
          <w:szCs w:val="22"/>
          <w:lang w:val="es-ES_tradnl"/>
        </w:rPr>
        <w:t xml:space="preserve"> mejoramientos </w:t>
      </w:r>
      <w:r w:rsidR="00233FCA">
        <w:rPr>
          <w:rFonts w:ascii="Arial" w:hAnsi="Arial" w:cs="Arial"/>
          <w:sz w:val="22"/>
          <w:szCs w:val="22"/>
          <w:lang w:val="es-ES_tradnl"/>
        </w:rPr>
        <w:t>–</w:t>
      </w:r>
      <w:r w:rsidR="005D64B5" w:rsidRPr="00CB24C7">
        <w:rPr>
          <w:rFonts w:ascii="Arial" w:hAnsi="Arial" w:cs="Arial"/>
          <w:sz w:val="22"/>
          <w:szCs w:val="22"/>
          <w:lang w:val="es-ES_tradnl"/>
        </w:rPr>
        <w:t xml:space="preserve"> reparaciones</w:t>
      </w:r>
      <w:r w:rsidR="00233FCA">
        <w:rPr>
          <w:rFonts w:ascii="Arial" w:hAnsi="Arial" w:cs="Arial"/>
          <w:sz w:val="22"/>
          <w:szCs w:val="22"/>
          <w:lang w:val="es-ES_tradnl"/>
        </w:rPr>
        <w:t xml:space="preserve">, </w:t>
      </w:r>
      <w:r w:rsidR="005D64B5" w:rsidRPr="00CB24C7">
        <w:rPr>
          <w:rFonts w:ascii="Arial" w:hAnsi="Arial" w:cs="Arial"/>
          <w:sz w:val="22"/>
          <w:szCs w:val="22"/>
          <w:lang w:val="es-ES_tradnl"/>
        </w:rPr>
        <w:t>146.</w:t>
      </w:r>
      <w:r w:rsidR="00567A71">
        <w:rPr>
          <w:rFonts w:ascii="Arial" w:hAnsi="Arial" w:cs="Arial"/>
          <w:sz w:val="22"/>
          <w:szCs w:val="22"/>
          <w:lang w:val="es-ES_tradnl"/>
        </w:rPr>
        <w:t>760</w:t>
      </w:r>
      <w:r w:rsidR="005D64B5" w:rsidRPr="00CB24C7">
        <w:rPr>
          <w:rFonts w:ascii="Arial" w:hAnsi="Arial" w:cs="Arial"/>
          <w:sz w:val="22"/>
          <w:szCs w:val="22"/>
          <w:lang w:val="es-ES_tradnl"/>
        </w:rPr>
        <w:t xml:space="preserve"> viviendas nuevas</w:t>
      </w:r>
      <w:r w:rsidR="00233FCA">
        <w:rPr>
          <w:rFonts w:ascii="Arial" w:hAnsi="Arial" w:cs="Arial"/>
          <w:sz w:val="22"/>
          <w:szCs w:val="22"/>
          <w:lang w:val="es-ES_tradnl"/>
        </w:rPr>
        <w:t xml:space="preserve"> y 14 pendientes de categorizar</w:t>
      </w:r>
      <w:r w:rsidR="005D64B5" w:rsidRPr="00CB24C7">
        <w:rPr>
          <w:rFonts w:ascii="Arial" w:hAnsi="Arial" w:cs="Arial"/>
          <w:sz w:val="22"/>
          <w:szCs w:val="22"/>
          <w:lang w:val="es-ES_tradnl"/>
        </w:rPr>
        <w:t xml:space="preserve">) </w:t>
      </w:r>
      <w:r w:rsidR="00105AD5">
        <w:rPr>
          <w:rFonts w:ascii="Arial" w:hAnsi="Arial" w:cs="Arial"/>
          <w:sz w:val="22"/>
          <w:szCs w:val="22"/>
          <w:lang w:val="es-ES_tradnl"/>
        </w:rPr>
        <w:t xml:space="preserve">a lo largo de las vigencias 2000 al 2019 </w:t>
      </w:r>
      <w:r w:rsidR="005D64B5" w:rsidRPr="00CB24C7">
        <w:rPr>
          <w:rFonts w:ascii="Arial" w:hAnsi="Arial" w:cs="Arial"/>
          <w:sz w:val="22"/>
          <w:szCs w:val="22"/>
          <w:lang w:val="es-ES_tradnl"/>
        </w:rPr>
        <w:t xml:space="preserve">de los </w:t>
      </w:r>
      <w:r w:rsidR="005D64B5" w:rsidRPr="004D2021">
        <w:rPr>
          <w:rFonts w:ascii="Arial" w:hAnsi="Arial" w:cs="Arial"/>
          <w:sz w:val="22"/>
          <w:szCs w:val="22"/>
          <w:lang w:val="es-ES_tradnl"/>
        </w:rPr>
        <w:t>cuales fueron retirados 1</w:t>
      </w:r>
      <w:r w:rsidR="004D2021">
        <w:rPr>
          <w:rFonts w:ascii="Arial" w:hAnsi="Arial" w:cs="Arial"/>
          <w:sz w:val="22"/>
          <w:szCs w:val="22"/>
          <w:lang w:val="es-ES_tradnl"/>
        </w:rPr>
        <w:t>1</w:t>
      </w:r>
      <w:r w:rsidR="005D64B5" w:rsidRPr="004D2021">
        <w:rPr>
          <w:rFonts w:ascii="Arial" w:hAnsi="Arial" w:cs="Arial"/>
          <w:sz w:val="22"/>
          <w:szCs w:val="22"/>
          <w:lang w:val="es-ES_tradnl"/>
        </w:rPr>
        <w:t>.</w:t>
      </w:r>
      <w:r w:rsidR="004D2021">
        <w:rPr>
          <w:rFonts w:ascii="Arial" w:hAnsi="Arial" w:cs="Arial"/>
          <w:sz w:val="22"/>
          <w:szCs w:val="22"/>
          <w:lang w:val="es-ES_tradnl"/>
        </w:rPr>
        <w:t>008</w:t>
      </w:r>
      <w:r w:rsidR="005D64B5" w:rsidRPr="004D2021">
        <w:rPr>
          <w:rFonts w:ascii="Arial" w:hAnsi="Arial" w:cs="Arial"/>
          <w:sz w:val="22"/>
          <w:szCs w:val="22"/>
          <w:lang w:val="es-ES_tradnl"/>
        </w:rPr>
        <w:t xml:space="preserve"> subsidios. </w:t>
      </w:r>
    </w:p>
    <w:p w14:paraId="6D58493D" w14:textId="77777777" w:rsidR="00DA2908" w:rsidRDefault="00DA2908" w:rsidP="00CB24C7">
      <w:pPr>
        <w:jc w:val="both"/>
        <w:rPr>
          <w:rFonts w:ascii="Arial" w:hAnsi="Arial" w:cs="Arial"/>
          <w:sz w:val="22"/>
          <w:szCs w:val="22"/>
          <w:lang w:val="es-ES_tradnl"/>
        </w:rPr>
      </w:pPr>
    </w:p>
    <w:p w14:paraId="761E0CAF" w14:textId="7A519D7B" w:rsidR="00771589" w:rsidRDefault="005D64B5" w:rsidP="00CB24C7">
      <w:pPr>
        <w:jc w:val="both"/>
        <w:rPr>
          <w:rFonts w:ascii="Arial" w:hAnsi="Arial" w:cs="Arial"/>
          <w:sz w:val="22"/>
          <w:szCs w:val="22"/>
          <w:lang w:val="es-ES_tradnl"/>
        </w:rPr>
      </w:pPr>
      <w:r w:rsidRPr="004D2021">
        <w:rPr>
          <w:rFonts w:ascii="Arial" w:hAnsi="Arial" w:cs="Arial"/>
          <w:sz w:val="22"/>
          <w:szCs w:val="22"/>
          <w:lang w:val="es-ES_tradnl"/>
        </w:rPr>
        <w:t>En</w:t>
      </w:r>
      <w:r w:rsidRPr="00CB24C7">
        <w:rPr>
          <w:rFonts w:ascii="Arial" w:hAnsi="Arial" w:cs="Arial"/>
          <w:sz w:val="22"/>
          <w:szCs w:val="22"/>
          <w:lang w:val="es-ES_tradnl"/>
        </w:rPr>
        <w:t xml:space="preserve"> el</w:t>
      </w:r>
      <w:r w:rsidR="00E213BF" w:rsidRPr="00CB24C7">
        <w:rPr>
          <w:rFonts w:ascii="Arial" w:hAnsi="Arial" w:cs="Arial"/>
          <w:sz w:val="22"/>
          <w:szCs w:val="22"/>
          <w:lang w:val="es-ES_tradnl"/>
        </w:rPr>
        <w:t xml:space="preserve"> siguiente cuadro</w:t>
      </w:r>
      <w:r w:rsidRPr="00CB24C7">
        <w:rPr>
          <w:rFonts w:ascii="Arial" w:hAnsi="Arial" w:cs="Arial"/>
          <w:sz w:val="22"/>
          <w:szCs w:val="22"/>
          <w:lang w:val="es-ES_tradnl"/>
        </w:rPr>
        <w:t>,</w:t>
      </w:r>
      <w:r w:rsidR="00A60035">
        <w:rPr>
          <w:rFonts w:ascii="Arial" w:hAnsi="Arial" w:cs="Arial"/>
          <w:sz w:val="22"/>
          <w:szCs w:val="22"/>
          <w:lang w:val="es-ES_tradnl"/>
        </w:rPr>
        <w:t xml:space="preserve"> se identifica</w:t>
      </w:r>
      <w:r w:rsidRPr="00CB24C7">
        <w:rPr>
          <w:rFonts w:ascii="Arial" w:hAnsi="Arial" w:cs="Arial"/>
          <w:sz w:val="22"/>
          <w:szCs w:val="22"/>
          <w:lang w:val="es-ES_tradnl"/>
        </w:rPr>
        <w:t xml:space="preserve"> </w:t>
      </w:r>
      <w:r w:rsidR="00A60035">
        <w:rPr>
          <w:rFonts w:ascii="Arial" w:hAnsi="Arial" w:cs="Arial"/>
          <w:sz w:val="22"/>
          <w:szCs w:val="22"/>
          <w:lang w:val="es-ES_tradnl"/>
        </w:rPr>
        <w:t>l</w:t>
      </w:r>
      <w:r w:rsidRPr="00CB24C7">
        <w:rPr>
          <w:rFonts w:ascii="Arial" w:hAnsi="Arial" w:cs="Arial"/>
          <w:sz w:val="22"/>
          <w:szCs w:val="22"/>
          <w:lang w:val="es-ES_tradnl"/>
        </w:rPr>
        <w:t>a distribución porcentual de los subsidios asignados por departamento</w:t>
      </w:r>
      <w:r w:rsidR="00A60035">
        <w:rPr>
          <w:rFonts w:ascii="Arial" w:hAnsi="Arial" w:cs="Arial"/>
          <w:sz w:val="22"/>
          <w:szCs w:val="22"/>
          <w:lang w:val="es-ES_tradnl"/>
        </w:rPr>
        <w:t>;</w:t>
      </w:r>
      <w:r w:rsidRPr="00CB24C7">
        <w:rPr>
          <w:rFonts w:ascii="Arial" w:hAnsi="Arial" w:cs="Arial"/>
          <w:sz w:val="22"/>
          <w:szCs w:val="22"/>
          <w:lang w:val="es-ES_tradnl"/>
        </w:rPr>
        <w:t xml:space="preserve"> </w:t>
      </w:r>
      <w:r w:rsidR="00A60035">
        <w:rPr>
          <w:rFonts w:ascii="Arial" w:hAnsi="Arial" w:cs="Arial"/>
          <w:sz w:val="22"/>
          <w:szCs w:val="22"/>
          <w:lang w:val="es-ES_tradnl"/>
        </w:rPr>
        <w:t xml:space="preserve">se </w:t>
      </w:r>
      <w:r w:rsidRPr="00CB24C7">
        <w:rPr>
          <w:rFonts w:ascii="Arial" w:hAnsi="Arial" w:cs="Arial"/>
          <w:sz w:val="22"/>
          <w:szCs w:val="22"/>
          <w:lang w:val="es-ES_tradnl"/>
        </w:rPr>
        <w:t>observa que el departamento de Cauca</w:t>
      </w:r>
      <w:r w:rsidR="004327CE">
        <w:rPr>
          <w:rFonts w:ascii="Arial" w:hAnsi="Arial" w:cs="Arial"/>
          <w:sz w:val="22"/>
          <w:szCs w:val="22"/>
          <w:lang w:val="es-ES_tradnl"/>
        </w:rPr>
        <w:t xml:space="preserve"> es el departamento con </w:t>
      </w:r>
      <w:r w:rsidRPr="00CB24C7">
        <w:rPr>
          <w:rFonts w:ascii="Arial" w:hAnsi="Arial" w:cs="Arial"/>
          <w:sz w:val="22"/>
          <w:szCs w:val="22"/>
          <w:lang w:val="es-ES_tradnl"/>
        </w:rPr>
        <w:t>mayor representación, seguido de Antioquia</w:t>
      </w:r>
      <w:r w:rsidR="004F5CB7">
        <w:rPr>
          <w:rFonts w:ascii="Arial" w:hAnsi="Arial" w:cs="Arial"/>
          <w:sz w:val="22"/>
          <w:szCs w:val="22"/>
          <w:lang w:val="es-ES_tradnl"/>
        </w:rPr>
        <w:t xml:space="preserve"> y </w:t>
      </w:r>
      <w:proofErr w:type="gramStart"/>
      <w:r w:rsidR="004F5CB7">
        <w:rPr>
          <w:rFonts w:ascii="Arial" w:hAnsi="Arial" w:cs="Arial"/>
          <w:sz w:val="22"/>
          <w:szCs w:val="22"/>
          <w:lang w:val="es-ES_tradnl"/>
        </w:rPr>
        <w:t>Córdoba</w:t>
      </w:r>
      <w:r w:rsidR="00806BB0">
        <w:rPr>
          <w:rFonts w:ascii="Arial" w:hAnsi="Arial" w:cs="Arial"/>
          <w:sz w:val="22"/>
          <w:szCs w:val="22"/>
          <w:lang w:val="es-ES_tradnl"/>
        </w:rPr>
        <w:t>:</w:t>
      </w:r>
      <w:r w:rsidR="00AA178A">
        <w:rPr>
          <w:rFonts w:ascii="Arial" w:hAnsi="Arial" w:cs="Arial"/>
          <w:sz w:val="22"/>
          <w:szCs w:val="22"/>
          <w:lang w:val="es-ES_tradnl"/>
        </w:rPr>
        <w:t>:</w:t>
      </w:r>
      <w:proofErr w:type="gramEnd"/>
      <w:r w:rsidR="00AA178A">
        <w:rPr>
          <w:rFonts w:ascii="Arial" w:hAnsi="Arial" w:cs="Arial"/>
          <w:sz w:val="22"/>
          <w:szCs w:val="22"/>
          <w:lang w:val="es-ES_tradnl"/>
        </w:rPr>
        <w:t xml:space="preserve"> </w:t>
      </w:r>
      <w:r w:rsidR="004162C0" w:rsidRPr="00CB24C7">
        <w:rPr>
          <w:rFonts w:ascii="Arial" w:hAnsi="Arial" w:cs="Arial"/>
          <w:sz w:val="22"/>
          <w:szCs w:val="22"/>
          <w:lang w:val="es-ES_tradnl"/>
        </w:rPr>
        <w:t xml:space="preserve"> </w:t>
      </w:r>
    </w:p>
    <w:p w14:paraId="2652BEE9" w14:textId="77777777" w:rsidR="000D2A55" w:rsidRDefault="000D2A55" w:rsidP="00CB24C7">
      <w:pPr>
        <w:jc w:val="both"/>
        <w:rPr>
          <w:rFonts w:ascii="Arial" w:hAnsi="Arial" w:cs="Arial"/>
          <w:sz w:val="22"/>
          <w:szCs w:val="22"/>
          <w:lang w:val="es-ES_tradnl"/>
        </w:rPr>
      </w:pPr>
    </w:p>
    <w:p w14:paraId="7CE66DFC" w14:textId="4222C65E" w:rsidR="005D64B5" w:rsidRPr="00EF2786" w:rsidRDefault="004B7E1B" w:rsidP="00EF2786">
      <w:pPr>
        <w:pStyle w:val="Descripcin"/>
        <w:spacing w:after="0"/>
        <w:jc w:val="center"/>
        <w:rPr>
          <w:rFonts w:ascii="Arial" w:hAnsi="Arial" w:cs="Arial"/>
          <w:i w:val="0"/>
          <w:iCs w:val="0"/>
          <w:color w:val="auto"/>
          <w:sz w:val="22"/>
          <w:szCs w:val="22"/>
          <w:lang w:val="es-ES_tradnl"/>
        </w:rPr>
      </w:pPr>
      <w:bookmarkStart w:id="22" w:name="_Toc102506203"/>
      <w:r w:rsidRPr="00CB24C7">
        <w:rPr>
          <w:rFonts w:ascii="Arial" w:hAnsi="Arial" w:cs="Arial"/>
          <w:i w:val="0"/>
          <w:iCs w:val="0"/>
          <w:color w:val="auto"/>
          <w:sz w:val="22"/>
          <w:szCs w:val="22"/>
          <w:lang w:val="es-ES_tradnl"/>
        </w:rPr>
        <w:t xml:space="preserve">Gráfico </w:t>
      </w:r>
      <w:r w:rsidRPr="00CB24C7">
        <w:rPr>
          <w:rFonts w:ascii="Arial" w:hAnsi="Arial" w:cs="Arial"/>
          <w:i w:val="0"/>
          <w:iCs w:val="0"/>
          <w:color w:val="auto"/>
          <w:sz w:val="22"/>
          <w:szCs w:val="22"/>
          <w:lang w:val="es-ES_tradnl"/>
        </w:rPr>
        <w:fldChar w:fldCharType="begin"/>
      </w:r>
      <w:r w:rsidRPr="00CB24C7">
        <w:rPr>
          <w:rFonts w:ascii="Arial" w:hAnsi="Arial" w:cs="Arial"/>
          <w:i w:val="0"/>
          <w:iCs w:val="0"/>
          <w:color w:val="auto"/>
          <w:sz w:val="22"/>
          <w:szCs w:val="22"/>
          <w:lang w:val="es-ES_tradnl"/>
        </w:rPr>
        <w:instrText xml:space="preserve"> SEQ grafico \* ARABIC </w:instrText>
      </w:r>
      <w:r w:rsidRPr="00CB24C7">
        <w:rPr>
          <w:rFonts w:ascii="Arial" w:hAnsi="Arial" w:cs="Arial"/>
          <w:i w:val="0"/>
          <w:iCs w:val="0"/>
          <w:color w:val="auto"/>
          <w:sz w:val="22"/>
          <w:szCs w:val="22"/>
          <w:lang w:val="es-ES_tradnl"/>
        </w:rPr>
        <w:fldChar w:fldCharType="separate"/>
      </w:r>
      <w:r w:rsidR="005E3BDC">
        <w:rPr>
          <w:rFonts w:ascii="Arial" w:hAnsi="Arial" w:cs="Arial"/>
          <w:i w:val="0"/>
          <w:iCs w:val="0"/>
          <w:noProof/>
          <w:color w:val="auto"/>
          <w:sz w:val="22"/>
          <w:szCs w:val="22"/>
          <w:lang w:val="es-ES_tradnl"/>
        </w:rPr>
        <w:t>3</w:t>
      </w:r>
      <w:r w:rsidRPr="00CB24C7">
        <w:rPr>
          <w:rFonts w:ascii="Arial" w:hAnsi="Arial" w:cs="Arial"/>
          <w:i w:val="0"/>
          <w:iCs w:val="0"/>
          <w:color w:val="auto"/>
          <w:sz w:val="22"/>
          <w:szCs w:val="22"/>
          <w:lang w:val="es-ES_tradnl"/>
        </w:rPr>
        <w:fldChar w:fldCharType="end"/>
      </w:r>
      <w:r w:rsidRPr="00CB24C7">
        <w:rPr>
          <w:rFonts w:ascii="Arial" w:hAnsi="Arial" w:cs="Arial"/>
          <w:i w:val="0"/>
          <w:iCs w:val="0"/>
          <w:color w:val="auto"/>
          <w:sz w:val="22"/>
          <w:szCs w:val="22"/>
          <w:lang w:val="es-ES_tradnl"/>
        </w:rPr>
        <w:t xml:space="preserve"> </w:t>
      </w:r>
      <w:r w:rsidR="005D64B5" w:rsidRPr="00CB24C7">
        <w:rPr>
          <w:rFonts w:ascii="Arial" w:hAnsi="Arial" w:cs="Arial"/>
          <w:i w:val="0"/>
          <w:iCs w:val="0"/>
          <w:color w:val="auto"/>
          <w:sz w:val="22"/>
          <w:szCs w:val="22"/>
          <w:lang w:val="es-ES_tradnl"/>
        </w:rPr>
        <w:t>Distribución de los Subsidios Asignados</w:t>
      </w:r>
      <w:bookmarkEnd w:id="22"/>
      <w:r w:rsidR="000D2A55">
        <w:rPr>
          <w:noProof/>
        </w:rPr>
        <w:drawing>
          <wp:inline distT="0" distB="0" distL="0" distR="0" wp14:anchorId="26A4E2AC" wp14:editId="6893D8AD">
            <wp:extent cx="5292191" cy="3835625"/>
            <wp:effectExtent l="0" t="0" r="3810" b="0"/>
            <wp:docPr id="1380600356" name="Gráfico 1">
              <a:extLst xmlns:a="http://schemas.openxmlformats.org/drawingml/2006/main">
                <a:ext uri="{FF2B5EF4-FFF2-40B4-BE49-F238E27FC236}">
                  <a16:creationId xmlns:a16="http://schemas.microsoft.com/office/drawing/2014/main" id="{C2DE7796-89E0-5AE9-39FA-5099F0AB84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12E7C44" w14:textId="77777777" w:rsidR="00D240A1" w:rsidRDefault="00D240A1" w:rsidP="00CB24C7">
      <w:pPr>
        <w:rPr>
          <w:rFonts w:ascii="Arial" w:hAnsi="Arial" w:cs="Arial"/>
          <w:sz w:val="22"/>
          <w:szCs w:val="22"/>
          <w:lang w:val="es-ES_tradnl"/>
        </w:rPr>
      </w:pPr>
    </w:p>
    <w:p w14:paraId="5ED28C36" w14:textId="77777777" w:rsidR="004327CE" w:rsidRDefault="004327CE" w:rsidP="00CB24C7">
      <w:pPr>
        <w:rPr>
          <w:rFonts w:ascii="Arial" w:hAnsi="Arial" w:cs="Arial"/>
          <w:sz w:val="22"/>
          <w:szCs w:val="22"/>
          <w:lang w:val="es-ES_tradnl"/>
        </w:rPr>
      </w:pPr>
    </w:p>
    <w:p w14:paraId="2AEC0754" w14:textId="77777777" w:rsidR="00E03D1E" w:rsidRDefault="00E03D1E" w:rsidP="00CB24C7">
      <w:pPr>
        <w:rPr>
          <w:rFonts w:ascii="Arial" w:hAnsi="Arial" w:cs="Arial"/>
          <w:sz w:val="22"/>
          <w:szCs w:val="22"/>
          <w:lang w:val="es-ES_tradnl"/>
        </w:rPr>
      </w:pPr>
    </w:p>
    <w:p w14:paraId="66F069AD" w14:textId="77777777" w:rsidR="00E03D1E" w:rsidRPr="00CB24C7" w:rsidRDefault="00E03D1E" w:rsidP="00CB24C7">
      <w:pPr>
        <w:rPr>
          <w:rFonts w:ascii="Arial" w:hAnsi="Arial" w:cs="Arial"/>
          <w:sz w:val="22"/>
          <w:szCs w:val="22"/>
          <w:lang w:val="es-ES_tradnl"/>
        </w:rPr>
      </w:pPr>
    </w:p>
    <w:p w14:paraId="7AE4B0AF" w14:textId="1907BCEA" w:rsidR="00C1246E" w:rsidRPr="00CD26F2" w:rsidRDefault="00B45185" w:rsidP="005F760B">
      <w:pPr>
        <w:pStyle w:val="Ttulo1"/>
        <w:numPr>
          <w:ilvl w:val="1"/>
          <w:numId w:val="7"/>
        </w:numPr>
        <w:spacing w:before="0"/>
        <w:jc w:val="both"/>
        <w:rPr>
          <w:rFonts w:ascii="Arial" w:hAnsi="Arial" w:cs="Arial"/>
          <w:b/>
          <w:bCs/>
          <w:color w:val="385623" w:themeColor="accent6" w:themeShade="80"/>
          <w:sz w:val="22"/>
          <w:szCs w:val="22"/>
          <w:lang w:val="es-ES_tradnl"/>
        </w:rPr>
      </w:pPr>
      <w:bookmarkStart w:id="23" w:name="_Toc225874784"/>
      <w:r w:rsidRPr="00CD26F2">
        <w:rPr>
          <w:rFonts w:ascii="Arial" w:hAnsi="Arial" w:cs="Arial"/>
          <w:b/>
          <w:bCs/>
          <w:color w:val="385623" w:themeColor="accent6" w:themeShade="80"/>
          <w:sz w:val="22"/>
          <w:szCs w:val="22"/>
          <w:lang w:val="es-ES_tradnl"/>
        </w:rPr>
        <w:t>Indexaciones 2000 – 2017 Banco Agrario de Colombia – BAC</w:t>
      </w:r>
      <w:bookmarkEnd w:id="23"/>
    </w:p>
    <w:p w14:paraId="64E999FE" w14:textId="7544451D" w:rsidR="00B45185" w:rsidRPr="00CB24C7" w:rsidRDefault="00B45185" w:rsidP="00CB24C7">
      <w:pPr>
        <w:rPr>
          <w:rFonts w:ascii="Arial" w:hAnsi="Arial" w:cs="Arial"/>
        </w:rPr>
      </w:pPr>
    </w:p>
    <w:p w14:paraId="7721E553" w14:textId="7EE848BE" w:rsidR="00213B0C" w:rsidRPr="00213B0C" w:rsidRDefault="00213B0C" w:rsidP="00887964">
      <w:pPr>
        <w:jc w:val="both"/>
        <w:rPr>
          <w:rFonts w:ascii="Arial" w:hAnsi="Arial" w:cs="Arial"/>
          <w:color w:val="EE0000"/>
          <w:sz w:val="22"/>
          <w:szCs w:val="22"/>
        </w:rPr>
      </w:pPr>
      <w:r w:rsidRPr="00213B0C">
        <w:rPr>
          <w:rFonts w:ascii="Arial" w:hAnsi="Arial" w:cs="Arial"/>
          <w:color w:val="EE0000"/>
          <w:sz w:val="22"/>
          <w:szCs w:val="22"/>
        </w:rPr>
        <w:lastRenderedPageBreak/>
        <w:t>HARRISON</w:t>
      </w:r>
    </w:p>
    <w:p w14:paraId="0F3872B8" w14:textId="0567B89C" w:rsidR="00343DC1" w:rsidRDefault="00887964" w:rsidP="00887964">
      <w:pPr>
        <w:jc w:val="both"/>
        <w:rPr>
          <w:rFonts w:ascii="Arial" w:hAnsi="Arial" w:cs="Arial"/>
          <w:sz w:val="22"/>
          <w:szCs w:val="22"/>
        </w:rPr>
      </w:pPr>
      <w:r>
        <w:rPr>
          <w:rFonts w:ascii="Arial" w:hAnsi="Arial" w:cs="Arial"/>
          <w:sz w:val="22"/>
          <w:szCs w:val="22"/>
        </w:rPr>
        <w:t>A continuación</w:t>
      </w:r>
      <w:r w:rsidR="005040B1">
        <w:rPr>
          <w:rFonts w:ascii="Arial" w:hAnsi="Arial" w:cs="Arial"/>
          <w:sz w:val="22"/>
          <w:szCs w:val="22"/>
        </w:rPr>
        <w:t>,</w:t>
      </w:r>
      <w:r>
        <w:rPr>
          <w:rFonts w:ascii="Arial" w:hAnsi="Arial" w:cs="Arial"/>
          <w:sz w:val="22"/>
          <w:szCs w:val="22"/>
        </w:rPr>
        <w:t xml:space="preserve"> se presenta la totalidad de in</w:t>
      </w:r>
      <w:r w:rsidR="00343DC1">
        <w:rPr>
          <w:rFonts w:ascii="Arial" w:hAnsi="Arial" w:cs="Arial"/>
          <w:sz w:val="22"/>
          <w:szCs w:val="22"/>
        </w:rPr>
        <w:t>dexaciones efectuadas por parte del Ministerio de Agricultura y Desarrollo Rural mediante actos administrativos</w:t>
      </w:r>
      <w:r w:rsidR="005040B1">
        <w:rPr>
          <w:rFonts w:ascii="Arial" w:hAnsi="Arial" w:cs="Arial"/>
          <w:sz w:val="22"/>
          <w:szCs w:val="22"/>
        </w:rPr>
        <w:t xml:space="preserve"> desde el año </w:t>
      </w:r>
      <w:r w:rsidR="00CF6D5F">
        <w:rPr>
          <w:rFonts w:ascii="Arial" w:hAnsi="Arial" w:cs="Arial"/>
          <w:sz w:val="22"/>
          <w:szCs w:val="22"/>
        </w:rPr>
        <w:t>2021 y 2023</w:t>
      </w:r>
      <w:r w:rsidR="00343DC1">
        <w:rPr>
          <w:rFonts w:ascii="Arial" w:hAnsi="Arial" w:cs="Arial"/>
          <w:sz w:val="22"/>
          <w:szCs w:val="22"/>
        </w:rPr>
        <w:t xml:space="preserve">: </w:t>
      </w:r>
    </w:p>
    <w:p w14:paraId="23D0267A" w14:textId="77777777" w:rsidR="00343DC1" w:rsidRDefault="00343DC1" w:rsidP="00887964">
      <w:pPr>
        <w:jc w:val="both"/>
        <w:rPr>
          <w:rFonts w:ascii="Arial" w:hAnsi="Arial" w:cs="Arial"/>
          <w:sz w:val="22"/>
          <w:szCs w:val="22"/>
        </w:rPr>
      </w:pPr>
    </w:p>
    <w:p w14:paraId="05F8A91F" w14:textId="77777777" w:rsidR="00B707DE" w:rsidRDefault="00B707DE" w:rsidP="00887964">
      <w:pPr>
        <w:jc w:val="both"/>
        <w:rPr>
          <w:rFonts w:ascii="Arial" w:hAnsi="Arial" w:cs="Arial"/>
          <w:sz w:val="22"/>
          <w:szCs w:val="22"/>
        </w:rPr>
      </w:pPr>
    </w:p>
    <w:p w14:paraId="776CFD36" w14:textId="77777777" w:rsidR="00B707DE" w:rsidRDefault="00B707DE" w:rsidP="00887964">
      <w:pPr>
        <w:jc w:val="both"/>
        <w:rPr>
          <w:rFonts w:ascii="Arial" w:hAnsi="Arial" w:cs="Arial"/>
          <w:sz w:val="22"/>
          <w:szCs w:val="22"/>
        </w:rPr>
      </w:pPr>
    </w:p>
    <w:p w14:paraId="2867282A" w14:textId="1DC4A31E" w:rsidR="00343DC1" w:rsidRDefault="00AB2929" w:rsidP="00AB2929">
      <w:pPr>
        <w:jc w:val="center"/>
        <w:rPr>
          <w:rFonts w:ascii="Arial" w:hAnsi="Arial" w:cs="Arial"/>
          <w:sz w:val="22"/>
          <w:szCs w:val="22"/>
        </w:rPr>
      </w:pPr>
      <w:r>
        <w:rPr>
          <w:rFonts w:ascii="Arial" w:hAnsi="Arial" w:cs="Arial"/>
          <w:sz w:val="22"/>
          <w:szCs w:val="22"/>
        </w:rPr>
        <w:t>Tabla de tesorería del Banco Agrario de Colombia</w:t>
      </w:r>
    </w:p>
    <w:p w14:paraId="31012972" w14:textId="77777777" w:rsidR="00BD4E31" w:rsidRDefault="00BD4E31" w:rsidP="00AB2929">
      <w:pPr>
        <w:jc w:val="center"/>
        <w:rPr>
          <w:rFonts w:ascii="Arial" w:hAnsi="Arial" w:cs="Arial"/>
          <w:sz w:val="22"/>
          <w:szCs w:val="22"/>
        </w:rPr>
      </w:pPr>
    </w:p>
    <w:tbl>
      <w:tblPr>
        <w:tblW w:w="9086" w:type="dxa"/>
        <w:tblLayout w:type="fixed"/>
        <w:tblCellMar>
          <w:left w:w="70" w:type="dxa"/>
          <w:right w:w="70" w:type="dxa"/>
        </w:tblCellMar>
        <w:tblLook w:val="04A0" w:firstRow="1" w:lastRow="0" w:firstColumn="1" w:lastColumn="0" w:noHBand="0" w:noVBand="1"/>
      </w:tblPr>
      <w:tblGrid>
        <w:gridCol w:w="1129"/>
        <w:gridCol w:w="1545"/>
        <w:gridCol w:w="712"/>
        <w:gridCol w:w="691"/>
        <w:gridCol w:w="732"/>
        <w:gridCol w:w="1235"/>
        <w:gridCol w:w="937"/>
        <w:gridCol w:w="947"/>
        <w:gridCol w:w="1158"/>
      </w:tblGrid>
      <w:tr w:rsidR="00BD4E31" w:rsidRPr="00BD4E31" w14:paraId="1E334EAF" w14:textId="77777777" w:rsidTr="00BD4E31">
        <w:trPr>
          <w:trHeight w:val="1018"/>
        </w:trPr>
        <w:tc>
          <w:tcPr>
            <w:tcW w:w="2674"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402E4324" w14:textId="77777777" w:rsidR="00BD4E31" w:rsidRPr="00BD4E31" w:rsidRDefault="00BD4E31">
            <w:pPr>
              <w:jc w:val="center"/>
              <w:rPr>
                <w:rFonts w:ascii="Arial" w:hAnsi="Arial" w:cs="Arial"/>
                <w:b/>
                <w:bCs/>
                <w:sz w:val="18"/>
                <w:szCs w:val="18"/>
                <w:lang w:eastAsia="es-MX"/>
              </w:rPr>
            </w:pPr>
            <w:r w:rsidRPr="00BD4E31">
              <w:rPr>
                <w:rFonts w:ascii="Arial" w:hAnsi="Arial" w:cs="Arial"/>
                <w:b/>
                <w:bCs/>
                <w:sz w:val="18"/>
                <w:szCs w:val="18"/>
              </w:rPr>
              <w:t>Concepto</w:t>
            </w:r>
          </w:p>
        </w:tc>
        <w:tc>
          <w:tcPr>
            <w:tcW w:w="712" w:type="dxa"/>
            <w:vMerge w:val="restart"/>
            <w:tcBorders>
              <w:top w:val="single" w:sz="4" w:space="0" w:color="000000"/>
              <w:left w:val="single" w:sz="4" w:space="0" w:color="000000"/>
              <w:bottom w:val="single" w:sz="4" w:space="0" w:color="000000"/>
              <w:right w:val="single" w:sz="4" w:space="0" w:color="000000"/>
            </w:tcBorders>
            <w:vAlign w:val="center"/>
            <w:hideMark/>
          </w:tcPr>
          <w:p w14:paraId="49D29013" w14:textId="77777777" w:rsidR="00BD4E31" w:rsidRPr="00BD4E31" w:rsidRDefault="00BD4E31">
            <w:pPr>
              <w:rPr>
                <w:rFonts w:ascii="Arial" w:hAnsi="Arial" w:cs="Arial"/>
                <w:b/>
                <w:bCs/>
                <w:sz w:val="18"/>
                <w:szCs w:val="18"/>
              </w:rPr>
            </w:pPr>
            <w:r w:rsidRPr="00BD4E31">
              <w:rPr>
                <w:rFonts w:ascii="Arial" w:hAnsi="Arial" w:cs="Arial"/>
                <w:b/>
                <w:bCs/>
                <w:sz w:val="18"/>
                <w:szCs w:val="18"/>
              </w:rPr>
              <w:t>A. Saldo inicial</w:t>
            </w:r>
          </w:p>
        </w:tc>
        <w:tc>
          <w:tcPr>
            <w:tcW w:w="691" w:type="dxa"/>
            <w:vMerge w:val="restart"/>
            <w:tcBorders>
              <w:top w:val="single" w:sz="4" w:space="0" w:color="000000"/>
              <w:left w:val="single" w:sz="4" w:space="0" w:color="000000"/>
              <w:bottom w:val="single" w:sz="4" w:space="0" w:color="000000"/>
              <w:right w:val="single" w:sz="4" w:space="0" w:color="000000"/>
            </w:tcBorders>
            <w:hideMark/>
          </w:tcPr>
          <w:p w14:paraId="2DEDF422" w14:textId="77777777" w:rsidR="00BD4E31" w:rsidRPr="00BD4E31" w:rsidRDefault="00BD4E31">
            <w:pPr>
              <w:rPr>
                <w:rFonts w:ascii="Arial" w:hAnsi="Arial" w:cs="Arial"/>
                <w:b/>
                <w:bCs/>
                <w:sz w:val="18"/>
                <w:szCs w:val="18"/>
              </w:rPr>
            </w:pPr>
            <w:r w:rsidRPr="00BD4E31">
              <w:rPr>
                <w:rFonts w:ascii="Arial" w:hAnsi="Arial" w:cs="Arial"/>
                <w:b/>
                <w:bCs/>
                <w:sz w:val="18"/>
                <w:szCs w:val="18"/>
              </w:rPr>
              <w:t>B. Ingreso (Valor Girado MADR)</w:t>
            </w:r>
          </w:p>
        </w:tc>
        <w:tc>
          <w:tcPr>
            <w:tcW w:w="732" w:type="dxa"/>
            <w:vMerge w:val="restart"/>
            <w:tcBorders>
              <w:top w:val="single" w:sz="4" w:space="0" w:color="000000"/>
              <w:left w:val="single" w:sz="4" w:space="0" w:color="000000"/>
              <w:bottom w:val="single" w:sz="4" w:space="0" w:color="000000"/>
              <w:right w:val="single" w:sz="4" w:space="0" w:color="000000"/>
            </w:tcBorders>
            <w:hideMark/>
          </w:tcPr>
          <w:p w14:paraId="1CBB7DEB" w14:textId="77777777" w:rsidR="00BD4E31" w:rsidRPr="00BD4E31" w:rsidRDefault="00BD4E31">
            <w:pPr>
              <w:rPr>
                <w:rFonts w:ascii="Calibri" w:hAnsi="Calibri" w:cs="Calibri"/>
                <w:color w:val="000000"/>
                <w:sz w:val="18"/>
                <w:szCs w:val="18"/>
              </w:rPr>
            </w:pPr>
            <w:r w:rsidRPr="00BD4E31">
              <w:rPr>
                <w:rFonts w:ascii="Arial" w:hAnsi="Arial" w:cs="Arial"/>
                <w:b/>
                <w:bCs/>
                <w:sz w:val="18"/>
                <w:szCs w:val="18"/>
              </w:rPr>
              <w:t>C. Valor otros</w:t>
            </w:r>
            <w:r w:rsidRPr="00BD4E31">
              <w:rPr>
                <w:rFonts w:ascii="Arial" w:hAnsi="Arial" w:cs="Arial"/>
                <w:b/>
                <w:bCs/>
                <w:sz w:val="18"/>
                <w:szCs w:val="18"/>
              </w:rPr>
              <w:br/>
              <w:t>ingresos</w:t>
            </w:r>
          </w:p>
        </w:tc>
        <w:tc>
          <w:tcPr>
            <w:tcW w:w="1235" w:type="dxa"/>
            <w:tcBorders>
              <w:top w:val="single" w:sz="4" w:space="0" w:color="000000"/>
              <w:left w:val="nil"/>
              <w:bottom w:val="single" w:sz="4" w:space="0" w:color="000000"/>
              <w:right w:val="single" w:sz="4" w:space="0" w:color="000000"/>
            </w:tcBorders>
            <w:hideMark/>
          </w:tcPr>
          <w:p w14:paraId="5FDA515F" w14:textId="77777777" w:rsidR="00BD4E31" w:rsidRPr="00BD4E31" w:rsidRDefault="00BD4E31">
            <w:pPr>
              <w:jc w:val="center"/>
              <w:rPr>
                <w:rFonts w:ascii="Arial" w:hAnsi="Arial" w:cs="Arial"/>
                <w:b/>
                <w:bCs/>
                <w:sz w:val="18"/>
                <w:szCs w:val="18"/>
              </w:rPr>
            </w:pPr>
            <w:r w:rsidRPr="00BD4E31">
              <w:rPr>
                <w:rFonts w:ascii="Arial" w:hAnsi="Arial" w:cs="Arial"/>
                <w:b/>
                <w:bCs/>
                <w:sz w:val="18"/>
                <w:szCs w:val="18"/>
              </w:rPr>
              <w:t>D.</w:t>
            </w:r>
            <w:r w:rsidRPr="00BD4E31">
              <w:rPr>
                <w:rFonts w:ascii="Arial" w:hAnsi="Arial" w:cs="Arial"/>
                <w:b/>
                <w:bCs/>
                <w:sz w:val="18"/>
                <w:szCs w:val="18"/>
              </w:rPr>
              <w:br/>
              <w:t>Reclasificación/</w:t>
            </w:r>
          </w:p>
        </w:tc>
        <w:tc>
          <w:tcPr>
            <w:tcW w:w="937" w:type="dxa"/>
            <w:vMerge w:val="restart"/>
            <w:tcBorders>
              <w:top w:val="single" w:sz="4" w:space="0" w:color="000000"/>
              <w:left w:val="single" w:sz="4" w:space="0" w:color="000000"/>
              <w:bottom w:val="single" w:sz="4" w:space="0" w:color="000000"/>
              <w:right w:val="single" w:sz="4" w:space="0" w:color="000000"/>
            </w:tcBorders>
            <w:hideMark/>
          </w:tcPr>
          <w:p w14:paraId="5570A1C5" w14:textId="77777777" w:rsidR="00BD4E31" w:rsidRPr="00BD4E31" w:rsidRDefault="00BD4E31">
            <w:pPr>
              <w:rPr>
                <w:rFonts w:ascii="Calibri" w:hAnsi="Calibri" w:cs="Calibri"/>
                <w:color w:val="000000"/>
                <w:sz w:val="18"/>
                <w:szCs w:val="18"/>
              </w:rPr>
            </w:pPr>
            <w:r w:rsidRPr="00BD4E31">
              <w:rPr>
                <w:rFonts w:ascii="Arial" w:hAnsi="Arial" w:cs="Arial"/>
                <w:b/>
                <w:bCs/>
                <w:sz w:val="18"/>
                <w:szCs w:val="18"/>
              </w:rPr>
              <w:t>E. Valor pagado</w:t>
            </w:r>
            <w:r w:rsidRPr="00BD4E31">
              <w:rPr>
                <w:rFonts w:ascii="Arial" w:hAnsi="Arial" w:cs="Arial"/>
                <w:b/>
                <w:bCs/>
                <w:sz w:val="18"/>
                <w:szCs w:val="18"/>
              </w:rPr>
              <w:br/>
              <w:t>(Ejecutado)</w:t>
            </w:r>
          </w:p>
        </w:tc>
        <w:tc>
          <w:tcPr>
            <w:tcW w:w="947" w:type="dxa"/>
            <w:tcBorders>
              <w:top w:val="single" w:sz="4" w:space="0" w:color="000000"/>
              <w:left w:val="nil"/>
              <w:bottom w:val="single" w:sz="4" w:space="0" w:color="000000"/>
              <w:right w:val="single" w:sz="4" w:space="0" w:color="000000"/>
            </w:tcBorders>
            <w:hideMark/>
          </w:tcPr>
          <w:p w14:paraId="5CFAF0DC" w14:textId="77777777" w:rsidR="00BD4E31" w:rsidRPr="00BD4E31" w:rsidRDefault="00BD4E31">
            <w:pPr>
              <w:rPr>
                <w:rFonts w:ascii="Arial" w:hAnsi="Arial" w:cs="Arial"/>
                <w:b/>
                <w:bCs/>
                <w:sz w:val="18"/>
                <w:szCs w:val="18"/>
              </w:rPr>
            </w:pPr>
            <w:r w:rsidRPr="00BD4E31">
              <w:rPr>
                <w:rFonts w:ascii="Arial" w:hAnsi="Arial" w:cs="Arial"/>
                <w:b/>
                <w:bCs/>
                <w:sz w:val="18"/>
                <w:szCs w:val="18"/>
              </w:rPr>
              <w:t>F. Saldo corte 31 de diciembre</w:t>
            </w:r>
            <w:r w:rsidRPr="00BD4E31">
              <w:rPr>
                <w:rFonts w:ascii="Arial" w:hAnsi="Arial" w:cs="Arial"/>
                <w:b/>
                <w:bCs/>
                <w:sz w:val="18"/>
                <w:szCs w:val="18"/>
              </w:rPr>
              <w:br/>
              <w:t>2025</w:t>
            </w:r>
          </w:p>
        </w:tc>
        <w:tc>
          <w:tcPr>
            <w:tcW w:w="1158" w:type="dxa"/>
            <w:tcBorders>
              <w:top w:val="single" w:sz="4" w:space="0" w:color="000000"/>
              <w:left w:val="nil"/>
              <w:bottom w:val="single" w:sz="4" w:space="0" w:color="000000"/>
              <w:right w:val="single" w:sz="4" w:space="0" w:color="000000"/>
            </w:tcBorders>
            <w:hideMark/>
          </w:tcPr>
          <w:p w14:paraId="21F71026" w14:textId="77777777" w:rsidR="00BD4E31" w:rsidRPr="00BD4E31" w:rsidRDefault="00BD4E31">
            <w:pPr>
              <w:rPr>
                <w:rFonts w:ascii="Calibri" w:hAnsi="Calibri" w:cs="Calibri"/>
                <w:color w:val="000000"/>
                <w:sz w:val="18"/>
                <w:szCs w:val="18"/>
              </w:rPr>
            </w:pPr>
            <w:r w:rsidRPr="00BD4E31">
              <w:rPr>
                <w:rFonts w:ascii="Arial" w:hAnsi="Arial" w:cs="Arial"/>
                <w:b/>
                <w:bCs/>
                <w:sz w:val="18"/>
                <w:szCs w:val="18"/>
              </w:rPr>
              <w:t>G. Porcentaje (%) de</w:t>
            </w:r>
            <w:r w:rsidRPr="00BD4E31">
              <w:rPr>
                <w:rFonts w:ascii="Arial" w:hAnsi="Arial" w:cs="Arial"/>
                <w:b/>
                <w:bCs/>
                <w:sz w:val="18"/>
                <w:szCs w:val="18"/>
              </w:rPr>
              <w:br/>
              <w:t>ejecución</w:t>
            </w:r>
          </w:p>
        </w:tc>
      </w:tr>
      <w:tr w:rsidR="00BD4E31" w:rsidRPr="00BD4E31" w14:paraId="18E9DE00" w14:textId="77777777" w:rsidTr="00BD4E31">
        <w:trPr>
          <w:trHeight w:val="508"/>
        </w:trPr>
        <w:tc>
          <w:tcPr>
            <w:tcW w:w="2674" w:type="dxa"/>
            <w:gridSpan w:val="2"/>
            <w:vMerge/>
            <w:tcBorders>
              <w:top w:val="single" w:sz="4" w:space="0" w:color="000000"/>
              <w:left w:val="single" w:sz="4" w:space="0" w:color="000000"/>
              <w:bottom w:val="single" w:sz="4" w:space="0" w:color="000000"/>
              <w:right w:val="single" w:sz="4" w:space="0" w:color="000000"/>
            </w:tcBorders>
            <w:vAlign w:val="center"/>
            <w:hideMark/>
          </w:tcPr>
          <w:p w14:paraId="315E50FD" w14:textId="77777777" w:rsidR="00BD4E31" w:rsidRPr="00BD4E31" w:rsidRDefault="00BD4E31">
            <w:pPr>
              <w:rPr>
                <w:rFonts w:ascii="Arial" w:hAnsi="Arial" w:cs="Arial"/>
                <w:b/>
                <w:bCs/>
                <w:sz w:val="18"/>
                <w:szCs w:val="18"/>
              </w:rPr>
            </w:pPr>
          </w:p>
        </w:tc>
        <w:tc>
          <w:tcPr>
            <w:tcW w:w="712" w:type="dxa"/>
            <w:vMerge/>
            <w:tcBorders>
              <w:top w:val="single" w:sz="4" w:space="0" w:color="000000"/>
              <w:left w:val="single" w:sz="4" w:space="0" w:color="000000"/>
              <w:bottom w:val="single" w:sz="4" w:space="0" w:color="000000"/>
              <w:right w:val="single" w:sz="4" w:space="0" w:color="000000"/>
            </w:tcBorders>
            <w:vAlign w:val="center"/>
            <w:hideMark/>
          </w:tcPr>
          <w:p w14:paraId="0A55C358" w14:textId="77777777" w:rsidR="00BD4E31" w:rsidRPr="00BD4E31" w:rsidRDefault="00BD4E31">
            <w:pPr>
              <w:rPr>
                <w:rFonts w:ascii="Arial" w:hAnsi="Arial" w:cs="Arial"/>
                <w:b/>
                <w:bCs/>
                <w:sz w:val="18"/>
                <w:szCs w:val="18"/>
              </w:rPr>
            </w:pPr>
          </w:p>
        </w:tc>
        <w:tc>
          <w:tcPr>
            <w:tcW w:w="691" w:type="dxa"/>
            <w:vMerge/>
            <w:tcBorders>
              <w:top w:val="single" w:sz="4" w:space="0" w:color="000000"/>
              <w:left w:val="single" w:sz="4" w:space="0" w:color="000000"/>
              <w:bottom w:val="single" w:sz="4" w:space="0" w:color="000000"/>
              <w:right w:val="single" w:sz="4" w:space="0" w:color="000000"/>
            </w:tcBorders>
            <w:vAlign w:val="center"/>
            <w:hideMark/>
          </w:tcPr>
          <w:p w14:paraId="1733BABF" w14:textId="77777777" w:rsidR="00BD4E31" w:rsidRPr="00BD4E31" w:rsidRDefault="00BD4E31">
            <w:pPr>
              <w:rPr>
                <w:rFonts w:ascii="Arial" w:hAnsi="Arial" w:cs="Arial"/>
                <w:b/>
                <w:bCs/>
                <w:sz w:val="18"/>
                <w:szCs w:val="18"/>
              </w:rPr>
            </w:pPr>
          </w:p>
        </w:tc>
        <w:tc>
          <w:tcPr>
            <w:tcW w:w="732" w:type="dxa"/>
            <w:vMerge/>
            <w:tcBorders>
              <w:top w:val="single" w:sz="4" w:space="0" w:color="000000"/>
              <w:left w:val="single" w:sz="4" w:space="0" w:color="000000"/>
              <w:bottom w:val="single" w:sz="4" w:space="0" w:color="000000"/>
              <w:right w:val="single" w:sz="4" w:space="0" w:color="000000"/>
            </w:tcBorders>
            <w:vAlign w:val="center"/>
            <w:hideMark/>
          </w:tcPr>
          <w:p w14:paraId="368FF892" w14:textId="77777777" w:rsidR="00BD4E31" w:rsidRPr="00BD4E31" w:rsidRDefault="00BD4E31">
            <w:pPr>
              <w:rPr>
                <w:rFonts w:ascii="Calibri" w:hAnsi="Calibri" w:cs="Calibri"/>
                <w:color w:val="000000"/>
                <w:sz w:val="18"/>
                <w:szCs w:val="18"/>
              </w:rPr>
            </w:pPr>
          </w:p>
        </w:tc>
        <w:tc>
          <w:tcPr>
            <w:tcW w:w="1235" w:type="dxa"/>
            <w:tcBorders>
              <w:top w:val="nil"/>
              <w:left w:val="nil"/>
              <w:bottom w:val="single" w:sz="4" w:space="0" w:color="000000"/>
              <w:right w:val="single" w:sz="4" w:space="0" w:color="000000"/>
            </w:tcBorders>
            <w:hideMark/>
          </w:tcPr>
          <w:p w14:paraId="4C3FC1F2" w14:textId="77777777" w:rsidR="00BD4E31" w:rsidRPr="00BD4E31" w:rsidRDefault="00BD4E31">
            <w:pPr>
              <w:rPr>
                <w:rFonts w:ascii="Arial" w:hAnsi="Arial" w:cs="Arial"/>
                <w:b/>
                <w:bCs/>
                <w:sz w:val="18"/>
                <w:szCs w:val="18"/>
              </w:rPr>
            </w:pPr>
            <w:r w:rsidRPr="00BD4E31">
              <w:rPr>
                <w:rFonts w:ascii="Arial" w:hAnsi="Arial" w:cs="Arial"/>
                <w:b/>
                <w:bCs/>
                <w:sz w:val="18"/>
                <w:szCs w:val="18"/>
              </w:rPr>
              <w:t>Hogares Retirados</w:t>
            </w:r>
          </w:p>
        </w:tc>
        <w:tc>
          <w:tcPr>
            <w:tcW w:w="937" w:type="dxa"/>
            <w:vMerge/>
            <w:tcBorders>
              <w:top w:val="single" w:sz="4" w:space="0" w:color="000000"/>
              <w:left w:val="single" w:sz="4" w:space="0" w:color="000000"/>
              <w:bottom w:val="single" w:sz="4" w:space="0" w:color="000000"/>
              <w:right w:val="single" w:sz="4" w:space="0" w:color="000000"/>
            </w:tcBorders>
            <w:vAlign w:val="center"/>
            <w:hideMark/>
          </w:tcPr>
          <w:p w14:paraId="450030A3" w14:textId="77777777" w:rsidR="00BD4E31" w:rsidRPr="00BD4E31" w:rsidRDefault="00BD4E31">
            <w:pPr>
              <w:rPr>
                <w:rFonts w:ascii="Calibri" w:hAnsi="Calibri" w:cs="Calibri"/>
                <w:color w:val="000000"/>
                <w:sz w:val="18"/>
                <w:szCs w:val="18"/>
              </w:rPr>
            </w:pPr>
          </w:p>
        </w:tc>
        <w:tc>
          <w:tcPr>
            <w:tcW w:w="947" w:type="dxa"/>
            <w:tcBorders>
              <w:top w:val="nil"/>
              <w:left w:val="nil"/>
              <w:bottom w:val="single" w:sz="4" w:space="0" w:color="000000"/>
              <w:right w:val="single" w:sz="4" w:space="0" w:color="000000"/>
            </w:tcBorders>
            <w:vAlign w:val="center"/>
            <w:hideMark/>
          </w:tcPr>
          <w:p w14:paraId="3356C13F" w14:textId="77777777" w:rsidR="00BD4E31" w:rsidRPr="00BD4E31" w:rsidRDefault="00BD4E31">
            <w:pPr>
              <w:rPr>
                <w:rFonts w:ascii="Arial" w:hAnsi="Arial" w:cs="Arial"/>
                <w:b/>
                <w:bCs/>
                <w:sz w:val="18"/>
                <w:szCs w:val="18"/>
              </w:rPr>
            </w:pPr>
            <w:r w:rsidRPr="00BD4E31">
              <w:rPr>
                <w:rFonts w:ascii="Arial" w:hAnsi="Arial" w:cs="Arial"/>
                <w:b/>
                <w:bCs/>
                <w:sz w:val="18"/>
                <w:szCs w:val="18"/>
              </w:rPr>
              <w:t>(A+B+C+D-E)</w:t>
            </w:r>
          </w:p>
        </w:tc>
        <w:tc>
          <w:tcPr>
            <w:tcW w:w="1158" w:type="dxa"/>
            <w:tcBorders>
              <w:top w:val="nil"/>
              <w:left w:val="nil"/>
              <w:bottom w:val="single" w:sz="4" w:space="0" w:color="000000"/>
              <w:right w:val="single" w:sz="4" w:space="0" w:color="000000"/>
            </w:tcBorders>
            <w:vAlign w:val="center"/>
            <w:hideMark/>
          </w:tcPr>
          <w:p w14:paraId="2240542C" w14:textId="77777777" w:rsidR="00BD4E31" w:rsidRPr="00BD4E31" w:rsidRDefault="00BD4E31">
            <w:pPr>
              <w:jc w:val="right"/>
              <w:rPr>
                <w:rFonts w:ascii="Arial" w:hAnsi="Arial" w:cs="Arial"/>
                <w:b/>
                <w:bCs/>
                <w:sz w:val="18"/>
                <w:szCs w:val="18"/>
              </w:rPr>
            </w:pPr>
            <w:r w:rsidRPr="00BD4E31">
              <w:rPr>
                <w:rFonts w:ascii="Arial" w:hAnsi="Arial" w:cs="Arial"/>
                <w:b/>
                <w:bCs/>
                <w:sz w:val="18"/>
                <w:szCs w:val="18"/>
              </w:rPr>
              <w:t>(E/(A+B+C+D))</w:t>
            </w:r>
          </w:p>
        </w:tc>
      </w:tr>
      <w:tr w:rsidR="00BD4E31" w:rsidRPr="00BD4E31" w14:paraId="3AEABE30" w14:textId="77777777" w:rsidTr="00BD4E31">
        <w:trPr>
          <w:trHeight w:val="299"/>
        </w:trPr>
        <w:tc>
          <w:tcPr>
            <w:tcW w:w="1129" w:type="dxa"/>
            <w:vMerge w:val="restart"/>
            <w:tcBorders>
              <w:top w:val="nil"/>
              <w:left w:val="single" w:sz="4" w:space="0" w:color="000000"/>
              <w:bottom w:val="single" w:sz="4" w:space="0" w:color="000000"/>
              <w:right w:val="single" w:sz="4" w:space="0" w:color="000000"/>
            </w:tcBorders>
            <w:vAlign w:val="center"/>
            <w:hideMark/>
          </w:tcPr>
          <w:p w14:paraId="5EF65A73" w14:textId="77777777" w:rsidR="00BD4E31" w:rsidRPr="00BD4E31" w:rsidRDefault="00BD4E31">
            <w:pPr>
              <w:rPr>
                <w:rFonts w:ascii="Arial MT" w:hAnsi="Arial MT" w:cs="Calibri"/>
                <w:sz w:val="18"/>
                <w:szCs w:val="18"/>
              </w:rPr>
            </w:pPr>
            <w:r w:rsidRPr="00BD4E31">
              <w:rPr>
                <w:rFonts w:ascii="Arial" w:hAnsi="Arial" w:cs="Arial"/>
                <w:sz w:val="18"/>
                <w:szCs w:val="18"/>
              </w:rPr>
              <w:t>indexación de subsidios</w:t>
            </w:r>
          </w:p>
        </w:tc>
        <w:tc>
          <w:tcPr>
            <w:tcW w:w="1545" w:type="dxa"/>
            <w:tcBorders>
              <w:top w:val="nil"/>
              <w:left w:val="nil"/>
              <w:bottom w:val="single" w:sz="4" w:space="0" w:color="000000"/>
              <w:right w:val="single" w:sz="4" w:space="0" w:color="000000"/>
            </w:tcBorders>
            <w:noWrap/>
            <w:hideMark/>
          </w:tcPr>
          <w:p w14:paraId="2BF8CD50" w14:textId="77777777" w:rsidR="00BD4E31" w:rsidRPr="00BD4E31" w:rsidRDefault="00BD4E31">
            <w:pPr>
              <w:rPr>
                <w:rFonts w:ascii="Arial" w:hAnsi="Arial" w:cs="Arial"/>
                <w:b/>
                <w:bCs/>
                <w:sz w:val="18"/>
                <w:szCs w:val="18"/>
              </w:rPr>
            </w:pPr>
            <w:r w:rsidRPr="00BD4E31">
              <w:rPr>
                <w:rFonts w:ascii="Arial" w:hAnsi="Arial" w:cs="Arial"/>
                <w:b/>
                <w:bCs/>
                <w:sz w:val="18"/>
                <w:szCs w:val="18"/>
              </w:rPr>
              <w:t>Subtotal Indexación de subsidios</w:t>
            </w:r>
          </w:p>
        </w:tc>
        <w:tc>
          <w:tcPr>
            <w:tcW w:w="712" w:type="dxa"/>
            <w:tcBorders>
              <w:top w:val="nil"/>
              <w:left w:val="nil"/>
              <w:bottom w:val="single" w:sz="4" w:space="0" w:color="000000"/>
              <w:right w:val="single" w:sz="4" w:space="0" w:color="000000"/>
            </w:tcBorders>
            <w:noWrap/>
            <w:hideMark/>
          </w:tcPr>
          <w:p w14:paraId="02E9403F"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64,522.7</w:t>
            </w:r>
          </w:p>
        </w:tc>
        <w:tc>
          <w:tcPr>
            <w:tcW w:w="691" w:type="dxa"/>
            <w:tcBorders>
              <w:top w:val="nil"/>
              <w:left w:val="nil"/>
              <w:bottom w:val="single" w:sz="4" w:space="0" w:color="000000"/>
              <w:right w:val="single" w:sz="4" w:space="0" w:color="000000"/>
            </w:tcBorders>
            <w:noWrap/>
            <w:hideMark/>
          </w:tcPr>
          <w:p w14:paraId="49525D9E"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24,147.6</w:t>
            </w:r>
          </w:p>
        </w:tc>
        <w:tc>
          <w:tcPr>
            <w:tcW w:w="732" w:type="dxa"/>
            <w:tcBorders>
              <w:top w:val="nil"/>
              <w:left w:val="nil"/>
              <w:bottom w:val="single" w:sz="4" w:space="0" w:color="000000"/>
              <w:right w:val="single" w:sz="4" w:space="0" w:color="000000"/>
            </w:tcBorders>
            <w:noWrap/>
            <w:hideMark/>
          </w:tcPr>
          <w:p w14:paraId="77DE6118"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0.0</w:t>
            </w:r>
          </w:p>
        </w:tc>
        <w:tc>
          <w:tcPr>
            <w:tcW w:w="1235" w:type="dxa"/>
            <w:tcBorders>
              <w:top w:val="nil"/>
              <w:left w:val="nil"/>
              <w:bottom w:val="single" w:sz="4" w:space="0" w:color="000000"/>
              <w:right w:val="single" w:sz="4" w:space="0" w:color="000000"/>
            </w:tcBorders>
            <w:noWrap/>
            <w:hideMark/>
          </w:tcPr>
          <w:p w14:paraId="293FDFBD"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0.0</w:t>
            </w:r>
          </w:p>
        </w:tc>
        <w:tc>
          <w:tcPr>
            <w:tcW w:w="937" w:type="dxa"/>
            <w:tcBorders>
              <w:top w:val="nil"/>
              <w:left w:val="nil"/>
              <w:bottom w:val="single" w:sz="4" w:space="0" w:color="000000"/>
              <w:right w:val="single" w:sz="4" w:space="0" w:color="000000"/>
            </w:tcBorders>
            <w:noWrap/>
            <w:hideMark/>
          </w:tcPr>
          <w:p w14:paraId="12771F9E"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58,337.0</w:t>
            </w:r>
          </w:p>
        </w:tc>
        <w:tc>
          <w:tcPr>
            <w:tcW w:w="947" w:type="dxa"/>
            <w:tcBorders>
              <w:top w:val="nil"/>
              <w:left w:val="nil"/>
              <w:bottom w:val="single" w:sz="4" w:space="0" w:color="000000"/>
              <w:right w:val="single" w:sz="4" w:space="0" w:color="000000"/>
            </w:tcBorders>
            <w:noWrap/>
            <w:hideMark/>
          </w:tcPr>
          <w:p w14:paraId="7F04AE96"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30,333.3</w:t>
            </w:r>
          </w:p>
        </w:tc>
        <w:tc>
          <w:tcPr>
            <w:tcW w:w="1158" w:type="dxa"/>
            <w:tcBorders>
              <w:top w:val="nil"/>
              <w:left w:val="nil"/>
              <w:bottom w:val="single" w:sz="4" w:space="0" w:color="000000"/>
              <w:right w:val="single" w:sz="4" w:space="0" w:color="000000"/>
            </w:tcBorders>
            <w:noWrap/>
            <w:hideMark/>
          </w:tcPr>
          <w:p w14:paraId="71AAA78D" w14:textId="77777777" w:rsidR="00BD4E31" w:rsidRPr="00BD4E31" w:rsidRDefault="00BD4E31">
            <w:pPr>
              <w:jc w:val="right"/>
              <w:rPr>
                <w:rFonts w:ascii="Arial" w:hAnsi="Arial" w:cs="Arial"/>
                <w:color w:val="000000"/>
                <w:sz w:val="18"/>
                <w:szCs w:val="18"/>
              </w:rPr>
            </w:pPr>
            <w:r w:rsidRPr="00BD4E31">
              <w:rPr>
                <w:rFonts w:ascii="Arial" w:hAnsi="Arial" w:cs="Arial"/>
                <w:color w:val="000000"/>
                <w:sz w:val="18"/>
                <w:szCs w:val="18"/>
              </w:rPr>
              <w:t>66%</w:t>
            </w:r>
          </w:p>
        </w:tc>
      </w:tr>
      <w:tr w:rsidR="00BD4E31" w:rsidRPr="00BD4E31" w14:paraId="31569E23" w14:textId="77777777" w:rsidTr="00BD4E31">
        <w:trPr>
          <w:trHeight w:val="275"/>
        </w:trPr>
        <w:tc>
          <w:tcPr>
            <w:tcW w:w="1129" w:type="dxa"/>
            <w:vMerge/>
            <w:tcBorders>
              <w:top w:val="nil"/>
              <w:left w:val="single" w:sz="4" w:space="0" w:color="000000"/>
              <w:bottom w:val="single" w:sz="4" w:space="0" w:color="000000"/>
              <w:right w:val="single" w:sz="4" w:space="0" w:color="000000"/>
            </w:tcBorders>
            <w:vAlign w:val="center"/>
            <w:hideMark/>
          </w:tcPr>
          <w:p w14:paraId="5A8F1BEA" w14:textId="77777777" w:rsidR="00BD4E31" w:rsidRPr="00BD4E31" w:rsidRDefault="00BD4E31">
            <w:pPr>
              <w:rPr>
                <w:rFonts w:ascii="Arial MT" w:hAnsi="Arial MT" w:cs="Calibri"/>
                <w:sz w:val="18"/>
                <w:szCs w:val="18"/>
              </w:rPr>
            </w:pPr>
          </w:p>
        </w:tc>
        <w:tc>
          <w:tcPr>
            <w:tcW w:w="1545" w:type="dxa"/>
            <w:tcBorders>
              <w:top w:val="nil"/>
              <w:left w:val="nil"/>
              <w:bottom w:val="single" w:sz="4" w:space="0" w:color="000000"/>
              <w:right w:val="single" w:sz="4" w:space="0" w:color="000000"/>
            </w:tcBorders>
            <w:noWrap/>
            <w:hideMark/>
          </w:tcPr>
          <w:p w14:paraId="3F2ED01A" w14:textId="77777777" w:rsidR="00BD4E31" w:rsidRPr="00BD4E31" w:rsidRDefault="00BD4E31">
            <w:pPr>
              <w:ind w:firstLineChars="200" w:firstLine="360"/>
              <w:rPr>
                <w:rFonts w:ascii="Arial MT" w:hAnsi="Arial MT" w:cs="Calibri"/>
                <w:sz w:val="18"/>
                <w:szCs w:val="18"/>
              </w:rPr>
            </w:pPr>
            <w:r w:rsidRPr="00BD4E31">
              <w:rPr>
                <w:rFonts w:ascii="Arial" w:hAnsi="Arial" w:cs="Arial"/>
                <w:sz w:val="18"/>
                <w:szCs w:val="18"/>
              </w:rPr>
              <w:t>Resolución No. 459 de diciembre 2022</w:t>
            </w:r>
          </w:p>
        </w:tc>
        <w:tc>
          <w:tcPr>
            <w:tcW w:w="712" w:type="dxa"/>
            <w:tcBorders>
              <w:top w:val="nil"/>
              <w:left w:val="nil"/>
              <w:bottom w:val="single" w:sz="4" w:space="0" w:color="000000"/>
              <w:right w:val="single" w:sz="4" w:space="0" w:color="000000"/>
            </w:tcBorders>
            <w:noWrap/>
            <w:hideMark/>
          </w:tcPr>
          <w:p w14:paraId="01F24519"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1,871.8</w:t>
            </w:r>
          </w:p>
        </w:tc>
        <w:tc>
          <w:tcPr>
            <w:tcW w:w="691" w:type="dxa"/>
            <w:tcBorders>
              <w:top w:val="nil"/>
              <w:left w:val="nil"/>
              <w:bottom w:val="single" w:sz="4" w:space="0" w:color="000000"/>
              <w:right w:val="single" w:sz="4" w:space="0" w:color="000000"/>
            </w:tcBorders>
            <w:noWrap/>
            <w:hideMark/>
          </w:tcPr>
          <w:p w14:paraId="465186C8"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483.1</w:t>
            </w:r>
          </w:p>
        </w:tc>
        <w:tc>
          <w:tcPr>
            <w:tcW w:w="732" w:type="dxa"/>
            <w:tcBorders>
              <w:top w:val="nil"/>
              <w:left w:val="nil"/>
              <w:bottom w:val="single" w:sz="4" w:space="0" w:color="000000"/>
              <w:right w:val="single" w:sz="4" w:space="0" w:color="000000"/>
            </w:tcBorders>
            <w:noWrap/>
            <w:hideMark/>
          </w:tcPr>
          <w:p w14:paraId="40AC7110"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1235" w:type="dxa"/>
            <w:tcBorders>
              <w:top w:val="nil"/>
              <w:left w:val="nil"/>
              <w:bottom w:val="single" w:sz="4" w:space="0" w:color="000000"/>
              <w:right w:val="single" w:sz="4" w:space="0" w:color="000000"/>
            </w:tcBorders>
            <w:noWrap/>
            <w:hideMark/>
          </w:tcPr>
          <w:p w14:paraId="327A4B74"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(42.0)</w:t>
            </w:r>
          </w:p>
        </w:tc>
        <w:tc>
          <w:tcPr>
            <w:tcW w:w="937" w:type="dxa"/>
            <w:tcBorders>
              <w:top w:val="nil"/>
              <w:left w:val="nil"/>
              <w:bottom w:val="single" w:sz="4" w:space="0" w:color="000000"/>
              <w:right w:val="single" w:sz="4" w:space="0" w:color="000000"/>
            </w:tcBorders>
            <w:noWrap/>
            <w:hideMark/>
          </w:tcPr>
          <w:p w14:paraId="18AD7669"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2,312.5</w:t>
            </w:r>
          </w:p>
        </w:tc>
        <w:tc>
          <w:tcPr>
            <w:tcW w:w="947" w:type="dxa"/>
            <w:tcBorders>
              <w:top w:val="nil"/>
              <w:left w:val="nil"/>
              <w:bottom w:val="single" w:sz="4" w:space="0" w:color="000000"/>
              <w:right w:val="single" w:sz="4" w:space="0" w:color="000000"/>
            </w:tcBorders>
            <w:noWrap/>
            <w:hideMark/>
          </w:tcPr>
          <w:p w14:paraId="51A468BE"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0.4</w:t>
            </w:r>
          </w:p>
        </w:tc>
        <w:tc>
          <w:tcPr>
            <w:tcW w:w="1158" w:type="dxa"/>
            <w:tcBorders>
              <w:top w:val="nil"/>
              <w:left w:val="nil"/>
              <w:bottom w:val="single" w:sz="4" w:space="0" w:color="000000"/>
              <w:right w:val="single" w:sz="4" w:space="0" w:color="000000"/>
            </w:tcBorders>
            <w:noWrap/>
            <w:hideMark/>
          </w:tcPr>
          <w:p w14:paraId="2B532F9F"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100%</w:t>
            </w:r>
          </w:p>
        </w:tc>
      </w:tr>
      <w:tr w:rsidR="00BD4E31" w:rsidRPr="00BD4E31" w14:paraId="73368953" w14:textId="77777777" w:rsidTr="00BD4E31">
        <w:trPr>
          <w:trHeight w:val="275"/>
        </w:trPr>
        <w:tc>
          <w:tcPr>
            <w:tcW w:w="1129" w:type="dxa"/>
            <w:vMerge/>
            <w:tcBorders>
              <w:top w:val="nil"/>
              <w:left w:val="single" w:sz="4" w:space="0" w:color="000000"/>
              <w:bottom w:val="single" w:sz="4" w:space="0" w:color="000000"/>
              <w:right w:val="single" w:sz="4" w:space="0" w:color="000000"/>
            </w:tcBorders>
            <w:vAlign w:val="center"/>
            <w:hideMark/>
          </w:tcPr>
          <w:p w14:paraId="62FD611B" w14:textId="77777777" w:rsidR="00BD4E31" w:rsidRPr="00BD4E31" w:rsidRDefault="00BD4E31">
            <w:pPr>
              <w:rPr>
                <w:rFonts w:ascii="Arial MT" w:hAnsi="Arial MT" w:cs="Calibri"/>
                <w:sz w:val="18"/>
                <w:szCs w:val="18"/>
              </w:rPr>
            </w:pPr>
          </w:p>
        </w:tc>
        <w:tc>
          <w:tcPr>
            <w:tcW w:w="1545" w:type="dxa"/>
            <w:tcBorders>
              <w:top w:val="nil"/>
              <w:left w:val="nil"/>
              <w:bottom w:val="single" w:sz="4" w:space="0" w:color="000000"/>
              <w:right w:val="single" w:sz="4" w:space="0" w:color="000000"/>
            </w:tcBorders>
            <w:noWrap/>
            <w:hideMark/>
          </w:tcPr>
          <w:p w14:paraId="2D833216" w14:textId="77777777" w:rsidR="00BD4E31" w:rsidRPr="00BD4E31" w:rsidRDefault="00BD4E31">
            <w:pPr>
              <w:ind w:firstLineChars="200" w:firstLine="360"/>
              <w:rPr>
                <w:rFonts w:ascii="Arial MT" w:hAnsi="Arial MT" w:cs="Calibri"/>
                <w:sz w:val="18"/>
                <w:szCs w:val="18"/>
              </w:rPr>
            </w:pPr>
            <w:r w:rsidRPr="00BD4E31">
              <w:rPr>
                <w:rFonts w:ascii="Arial" w:hAnsi="Arial" w:cs="Arial"/>
                <w:sz w:val="18"/>
                <w:szCs w:val="18"/>
              </w:rPr>
              <w:t>Resolución No. 165 y 288 de 2020</w:t>
            </w:r>
          </w:p>
        </w:tc>
        <w:tc>
          <w:tcPr>
            <w:tcW w:w="712" w:type="dxa"/>
            <w:tcBorders>
              <w:top w:val="nil"/>
              <w:left w:val="nil"/>
              <w:bottom w:val="single" w:sz="4" w:space="0" w:color="000000"/>
              <w:right w:val="single" w:sz="4" w:space="0" w:color="000000"/>
            </w:tcBorders>
            <w:noWrap/>
            <w:hideMark/>
          </w:tcPr>
          <w:p w14:paraId="1D253156"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16,474.0</w:t>
            </w:r>
          </w:p>
        </w:tc>
        <w:tc>
          <w:tcPr>
            <w:tcW w:w="691" w:type="dxa"/>
            <w:tcBorders>
              <w:top w:val="nil"/>
              <w:left w:val="nil"/>
              <w:bottom w:val="single" w:sz="4" w:space="0" w:color="000000"/>
              <w:right w:val="single" w:sz="4" w:space="0" w:color="000000"/>
            </w:tcBorders>
            <w:noWrap/>
            <w:hideMark/>
          </w:tcPr>
          <w:p w14:paraId="36E284B0"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732" w:type="dxa"/>
            <w:tcBorders>
              <w:top w:val="nil"/>
              <w:left w:val="nil"/>
              <w:bottom w:val="single" w:sz="4" w:space="0" w:color="000000"/>
              <w:right w:val="single" w:sz="4" w:space="0" w:color="000000"/>
            </w:tcBorders>
            <w:noWrap/>
            <w:hideMark/>
          </w:tcPr>
          <w:p w14:paraId="2B09229D"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1235" w:type="dxa"/>
            <w:tcBorders>
              <w:top w:val="nil"/>
              <w:left w:val="nil"/>
              <w:bottom w:val="single" w:sz="4" w:space="0" w:color="000000"/>
              <w:right w:val="single" w:sz="4" w:space="0" w:color="000000"/>
            </w:tcBorders>
            <w:noWrap/>
            <w:hideMark/>
          </w:tcPr>
          <w:p w14:paraId="1881B03D"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(164.9)</w:t>
            </w:r>
          </w:p>
        </w:tc>
        <w:tc>
          <w:tcPr>
            <w:tcW w:w="937" w:type="dxa"/>
            <w:tcBorders>
              <w:top w:val="nil"/>
              <w:left w:val="nil"/>
              <w:bottom w:val="single" w:sz="4" w:space="0" w:color="000000"/>
              <w:right w:val="single" w:sz="4" w:space="0" w:color="000000"/>
            </w:tcBorders>
            <w:noWrap/>
            <w:hideMark/>
          </w:tcPr>
          <w:p w14:paraId="4252C769"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6,077.6</w:t>
            </w:r>
          </w:p>
        </w:tc>
        <w:tc>
          <w:tcPr>
            <w:tcW w:w="947" w:type="dxa"/>
            <w:tcBorders>
              <w:top w:val="nil"/>
              <w:left w:val="nil"/>
              <w:bottom w:val="single" w:sz="4" w:space="0" w:color="000000"/>
              <w:right w:val="single" w:sz="4" w:space="0" w:color="000000"/>
            </w:tcBorders>
            <w:noWrap/>
            <w:hideMark/>
          </w:tcPr>
          <w:p w14:paraId="7CB8EA45"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10,231.5</w:t>
            </w:r>
          </w:p>
        </w:tc>
        <w:tc>
          <w:tcPr>
            <w:tcW w:w="1158" w:type="dxa"/>
            <w:tcBorders>
              <w:top w:val="nil"/>
              <w:left w:val="nil"/>
              <w:bottom w:val="single" w:sz="4" w:space="0" w:color="000000"/>
              <w:right w:val="single" w:sz="4" w:space="0" w:color="000000"/>
            </w:tcBorders>
            <w:noWrap/>
            <w:hideMark/>
          </w:tcPr>
          <w:p w14:paraId="5D00652E"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37%</w:t>
            </w:r>
          </w:p>
        </w:tc>
      </w:tr>
      <w:tr w:rsidR="00BD4E31" w:rsidRPr="00BD4E31" w14:paraId="31979895" w14:textId="77777777" w:rsidTr="00BD4E31">
        <w:trPr>
          <w:trHeight w:val="275"/>
        </w:trPr>
        <w:tc>
          <w:tcPr>
            <w:tcW w:w="1129" w:type="dxa"/>
            <w:vMerge/>
            <w:tcBorders>
              <w:top w:val="nil"/>
              <w:left w:val="single" w:sz="4" w:space="0" w:color="000000"/>
              <w:bottom w:val="single" w:sz="4" w:space="0" w:color="000000"/>
              <w:right w:val="single" w:sz="4" w:space="0" w:color="000000"/>
            </w:tcBorders>
            <w:vAlign w:val="center"/>
            <w:hideMark/>
          </w:tcPr>
          <w:p w14:paraId="0E3F1969" w14:textId="77777777" w:rsidR="00BD4E31" w:rsidRPr="00BD4E31" w:rsidRDefault="00BD4E31">
            <w:pPr>
              <w:rPr>
                <w:rFonts w:ascii="Arial MT" w:hAnsi="Arial MT" w:cs="Calibri"/>
                <w:sz w:val="18"/>
                <w:szCs w:val="18"/>
              </w:rPr>
            </w:pPr>
          </w:p>
        </w:tc>
        <w:tc>
          <w:tcPr>
            <w:tcW w:w="1545" w:type="dxa"/>
            <w:tcBorders>
              <w:top w:val="nil"/>
              <w:left w:val="nil"/>
              <w:bottom w:val="single" w:sz="4" w:space="0" w:color="000000"/>
              <w:right w:val="single" w:sz="4" w:space="0" w:color="000000"/>
            </w:tcBorders>
            <w:noWrap/>
            <w:hideMark/>
          </w:tcPr>
          <w:p w14:paraId="25BE861F" w14:textId="77777777" w:rsidR="00BD4E31" w:rsidRPr="00BD4E31" w:rsidRDefault="00BD4E31">
            <w:pPr>
              <w:ind w:firstLineChars="200" w:firstLine="360"/>
              <w:rPr>
                <w:rFonts w:ascii="Arial MT" w:hAnsi="Arial MT" w:cs="Calibri"/>
                <w:sz w:val="18"/>
                <w:szCs w:val="18"/>
              </w:rPr>
            </w:pPr>
            <w:r w:rsidRPr="00BD4E31">
              <w:rPr>
                <w:rFonts w:ascii="Arial" w:hAnsi="Arial" w:cs="Arial"/>
                <w:sz w:val="18"/>
                <w:szCs w:val="18"/>
              </w:rPr>
              <w:t>Resolución No. 91 de 2021</w:t>
            </w:r>
          </w:p>
        </w:tc>
        <w:tc>
          <w:tcPr>
            <w:tcW w:w="712" w:type="dxa"/>
            <w:tcBorders>
              <w:top w:val="nil"/>
              <w:left w:val="nil"/>
              <w:bottom w:val="single" w:sz="4" w:space="0" w:color="000000"/>
              <w:right w:val="single" w:sz="4" w:space="0" w:color="000000"/>
            </w:tcBorders>
            <w:noWrap/>
            <w:hideMark/>
          </w:tcPr>
          <w:p w14:paraId="192C16DA"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26,184.5</w:t>
            </w:r>
          </w:p>
        </w:tc>
        <w:tc>
          <w:tcPr>
            <w:tcW w:w="691" w:type="dxa"/>
            <w:tcBorders>
              <w:top w:val="nil"/>
              <w:left w:val="nil"/>
              <w:bottom w:val="single" w:sz="4" w:space="0" w:color="000000"/>
              <w:right w:val="single" w:sz="4" w:space="0" w:color="000000"/>
            </w:tcBorders>
            <w:noWrap/>
            <w:hideMark/>
          </w:tcPr>
          <w:p w14:paraId="4B755687"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732" w:type="dxa"/>
            <w:tcBorders>
              <w:top w:val="nil"/>
              <w:left w:val="nil"/>
              <w:bottom w:val="single" w:sz="4" w:space="0" w:color="000000"/>
              <w:right w:val="single" w:sz="4" w:space="0" w:color="000000"/>
            </w:tcBorders>
            <w:noWrap/>
            <w:hideMark/>
          </w:tcPr>
          <w:p w14:paraId="6F854EC2"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1235" w:type="dxa"/>
            <w:tcBorders>
              <w:top w:val="nil"/>
              <w:left w:val="nil"/>
              <w:bottom w:val="single" w:sz="4" w:space="0" w:color="000000"/>
              <w:right w:val="single" w:sz="4" w:space="0" w:color="000000"/>
            </w:tcBorders>
            <w:noWrap/>
            <w:hideMark/>
          </w:tcPr>
          <w:p w14:paraId="682B60E2"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(700.8)</w:t>
            </w:r>
          </w:p>
        </w:tc>
        <w:tc>
          <w:tcPr>
            <w:tcW w:w="937" w:type="dxa"/>
            <w:tcBorders>
              <w:top w:val="nil"/>
              <w:left w:val="nil"/>
              <w:bottom w:val="single" w:sz="4" w:space="0" w:color="000000"/>
              <w:right w:val="single" w:sz="4" w:space="0" w:color="000000"/>
            </w:tcBorders>
            <w:noWrap/>
            <w:hideMark/>
          </w:tcPr>
          <w:p w14:paraId="6330BA68"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25,480.0</w:t>
            </w:r>
          </w:p>
        </w:tc>
        <w:tc>
          <w:tcPr>
            <w:tcW w:w="947" w:type="dxa"/>
            <w:tcBorders>
              <w:top w:val="nil"/>
              <w:left w:val="nil"/>
              <w:bottom w:val="single" w:sz="4" w:space="0" w:color="000000"/>
              <w:right w:val="single" w:sz="4" w:space="0" w:color="000000"/>
            </w:tcBorders>
            <w:noWrap/>
            <w:hideMark/>
          </w:tcPr>
          <w:p w14:paraId="5F6C0EBB"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2.9</w:t>
            </w:r>
          </w:p>
        </w:tc>
        <w:tc>
          <w:tcPr>
            <w:tcW w:w="1158" w:type="dxa"/>
            <w:tcBorders>
              <w:top w:val="nil"/>
              <w:left w:val="nil"/>
              <w:bottom w:val="single" w:sz="4" w:space="0" w:color="000000"/>
              <w:right w:val="single" w:sz="4" w:space="0" w:color="000000"/>
            </w:tcBorders>
            <w:noWrap/>
            <w:hideMark/>
          </w:tcPr>
          <w:p w14:paraId="4F7E0BCD"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100%</w:t>
            </w:r>
          </w:p>
        </w:tc>
      </w:tr>
      <w:tr w:rsidR="00BD4E31" w:rsidRPr="00BD4E31" w14:paraId="2ECD68AD" w14:textId="77777777" w:rsidTr="00BD4E31">
        <w:trPr>
          <w:trHeight w:val="275"/>
        </w:trPr>
        <w:tc>
          <w:tcPr>
            <w:tcW w:w="1129" w:type="dxa"/>
            <w:vMerge/>
            <w:tcBorders>
              <w:top w:val="nil"/>
              <w:left w:val="single" w:sz="4" w:space="0" w:color="000000"/>
              <w:bottom w:val="single" w:sz="4" w:space="0" w:color="000000"/>
              <w:right w:val="single" w:sz="4" w:space="0" w:color="000000"/>
            </w:tcBorders>
            <w:vAlign w:val="center"/>
            <w:hideMark/>
          </w:tcPr>
          <w:p w14:paraId="1FC54F31" w14:textId="77777777" w:rsidR="00BD4E31" w:rsidRPr="00BD4E31" w:rsidRDefault="00BD4E31">
            <w:pPr>
              <w:rPr>
                <w:rFonts w:ascii="Arial MT" w:hAnsi="Arial MT" w:cs="Calibri"/>
                <w:sz w:val="18"/>
                <w:szCs w:val="18"/>
              </w:rPr>
            </w:pPr>
          </w:p>
        </w:tc>
        <w:tc>
          <w:tcPr>
            <w:tcW w:w="1545" w:type="dxa"/>
            <w:tcBorders>
              <w:top w:val="nil"/>
              <w:left w:val="nil"/>
              <w:bottom w:val="single" w:sz="4" w:space="0" w:color="000000"/>
              <w:right w:val="single" w:sz="4" w:space="0" w:color="000000"/>
            </w:tcBorders>
            <w:noWrap/>
            <w:hideMark/>
          </w:tcPr>
          <w:p w14:paraId="6F7BD414" w14:textId="77777777" w:rsidR="00BD4E31" w:rsidRPr="00BD4E31" w:rsidRDefault="00BD4E31">
            <w:pPr>
              <w:ind w:firstLineChars="200" w:firstLine="360"/>
              <w:rPr>
                <w:rFonts w:ascii="Arial MT" w:hAnsi="Arial MT" w:cs="Calibri"/>
                <w:sz w:val="18"/>
                <w:szCs w:val="18"/>
              </w:rPr>
            </w:pPr>
            <w:r w:rsidRPr="00BD4E31">
              <w:rPr>
                <w:rFonts w:ascii="Arial" w:hAnsi="Arial" w:cs="Arial"/>
                <w:sz w:val="18"/>
                <w:szCs w:val="18"/>
              </w:rPr>
              <w:t>Resolución No.415 de 2021</w:t>
            </w:r>
          </w:p>
        </w:tc>
        <w:tc>
          <w:tcPr>
            <w:tcW w:w="712" w:type="dxa"/>
            <w:tcBorders>
              <w:top w:val="nil"/>
              <w:left w:val="nil"/>
              <w:bottom w:val="single" w:sz="4" w:space="0" w:color="000000"/>
              <w:right w:val="single" w:sz="4" w:space="0" w:color="000000"/>
            </w:tcBorders>
            <w:noWrap/>
            <w:hideMark/>
          </w:tcPr>
          <w:p w14:paraId="7C83F5D4"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404.7</w:t>
            </w:r>
          </w:p>
        </w:tc>
        <w:tc>
          <w:tcPr>
            <w:tcW w:w="691" w:type="dxa"/>
            <w:tcBorders>
              <w:top w:val="nil"/>
              <w:left w:val="nil"/>
              <w:bottom w:val="single" w:sz="4" w:space="0" w:color="000000"/>
              <w:right w:val="single" w:sz="4" w:space="0" w:color="000000"/>
            </w:tcBorders>
            <w:noWrap/>
            <w:hideMark/>
          </w:tcPr>
          <w:p w14:paraId="6D7ABBE0"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732" w:type="dxa"/>
            <w:tcBorders>
              <w:top w:val="nil"/>
              <w:left w:val="nil"/>
              <w:bottom w:val="single" w:sz="4" w:space="0" w:color="000000"/>
              <w:right w:val="single" w:sz="4" w:space="0" w:color="000000"/>
            </w:tcBorders>
            <w:noWrap/>
            <w:hideMark/>
          </w:tcPr>
          <w:p w14:paraId="188675F1"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1235" w:type="dxa"/>
            <w:tcBorders>
              <w:top w:val="nil"/>
              <w:left w:val="nil"/>
              <w:bottom w:val="single" w:sz="4" w:space="0" w:color="000000"/>
              <w:right w:val="single" w:sz="4" w:space="0" w:color="000000"/>
            </w:tcBorders>
            <w:noWrap/>
            <w:hideMark/>
          </w:tcPr>
          <w:p w14:paraId="796751E0"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937" w:type="dxa"/>
            <w:tcBorders>
              <w:top w:val="nil"/>
              <w:left w:val="nil"/>
              <w:bottom w:val="single" w:sz="4" w:space="0" w:color="000000"/>
              <w:right w:val="single" w:sz="4" w:space="0" w:color="000000"/>
            </w:tcBorders>
            <w:noWrap/>
            <w:hideMark/>
          </w:tcPr>
          <w:p w14:paraId="0BBCE87A"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202.3</w:t>
            </w:r>
          </w:p>
        </w:tc>
        <w:tc>
          <w:tcPr>
            <w:tcW w:w="947" w:type="dxa"/>
            <w:tcBorders>
              <w:top w:val="nil"/>
              <w:left w:val="nil"/>
              <w:bottom w:val="single" w:sz="4" w:space="0" w:color="000000"/>
              <w:right w:val="single" w:sz="4" w:space="0" w:color="000000"/>
            </w:tcBorders>
            <w:noWrap/>
            <w:hideMark/>
          </w:tcPr>
          <w:p w14:paraId="692F4B96"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202.4</w:t>
            </w:r>
          </w:p>
        </w:tc>
        <w:tc>
          <w:tcPr>
            <w:tcW w:w="1158" w:type="dxa"/>
            <w:tcBorders>
              <w:top w:val="nil"/>
              <w:left w:val="nil"/>
              <w:bottom w:val="single" w:sz="4" w:space="0" w:color="000000"/>
              <w:right w:val="single" w:sz="4" w:space="0" w:color="000000"/>
            </w:tcBorders>
            <w:noWrap/>
            <w:hideMark/>
          </w:tcPr>
          <w:p w14:paraId="5673AD55"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50%</w:t>
            </w:r>
          </w:p>
        </w:tc>
      </w:tr>
      <w:tr w:rsidR="00BD4E31" w:rsidRPr="00BD4E31" w14:paraId="085716BB" w14:textId="77777777" w:rsidTr="00BD4E31">
        <w:trPr>
          <w:trHeight w:val="275"/>
        </w:trPr>
        <w:tc>
          <w:tcPr>
            <w:tcW w:w="1129" w:type="dxa"/>
            <w:vMerge/>
            <w:tcBorders>
              <w:top w:val="nil"/>
              <w:left w:val="single" w:sz="4" w:space="0" w:color="000000"/>
              <w:bottom w:val="single" w:sz="4" w:space="0" w:color="000000"/>
              <w:right w:val="single" w:sz="4" w:space="0" w:color="000000"/>
            </w:tcBorders>
            <w:vAlign w:val="center"/>
            <w:hideMark/>
          </w:tcPr>
          <w:p w14:paraId="193583AD" w14:textId="77777777" w:rsidR="00BD4E31" w:rsidRPr="00BD4E31" w:rsidRDefault="00BD4E31">
            <w:pPr>
              <w:rPr>
                <w:rFonts w:ascii="Arial MT" w:hAnsi="Arial MT" w:cs="Calibri"/>
                <w:sz w:val="18"/>
                <w:szCs w:val="18"/>
              </w:rPr>
            </w:pPr>
          </w:p>
        </w:tc>
        <w:tc>
          <w:tcPr>
            <w:tcW w:w="1545" w:type="dxa"/>
            <w:tcBorders>
              <w:top w:val="nil"/>
              <w:left w:val="nil"/>
              <w:bottom w:val="single" w:sz="4" w:space="0" w:color="000000"/>
              <w:right w:val="single" w:sz="4" w:space="0" w:color="000000"/>
            </w:tcBorders>
            <w:noWrap/>
            <w:hideMark/>
          </w:tcPr>
          <w:p w14:paraId="35093A9F" w14:textId="77777777" w:rsidR="00BD4E31" w:rsidRPr="00BD4E31" w:rsidRDefault="00BD4E31">
            <w:pPr>
              <w:ind w:firstLineChars="200" w:firstLine="360"/>
              <w:rPr>
                <w:rFonts w:ascii="Arial MT" w:hAnsi="Arial MT" w:cs="Calibri"/>
                <w:sz w:val="18"/>
                <w:szCs w:val="18"/>
              </w:rPr>
            </w:pPr>
            <w:r w:rsidRPr="00BD4E31">
              <w:rPr>
                <w:rFonts w:ascii="Arial" w:hAnsi="Arial" w:cs="Arial"/>
                <w:sz w:val="18"/>
                <w:szCs w:val="18"/>
              </w:rPr>
              <w:t>Resolución No. 226 de 2022</w:t>
            </w:r>
          </w:p>
        </w:tc>
        <w:tc>
          <w:tcPr>
            <w:tcW w:w="712" w:type="dxa"/>
            <w:tcBorders>
              <w:top w:val="nil"/>
              <w:left w:val="nil"/>
              <w:bottom w:val="single" w:sz="4" w:space="0" w:color="000000"/>
              <w:right w:val="single" w:sz="4" w:space="0" w:color="000000"/>
            </w:tcBorders>
            <w:noWrap/>
            <w:hideMark/>
          </w:tcPr>
          <w:p w14:paraId="3E1AB722"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19,587.7</w:t>
            </w:r>
          </w:p>
        </w:tc>
        <w:tc>
          <w:tcPr>
            <w:tcW w:w="691" w:type="dxa"/>
            <w:tcBorders>
              <w:top w:val="nil"/>
              <w:left w:val="nil"/>
              <w:bottom w:val="single" w:sz="4" w:space="0" w:color="000000"/>
              <w:right w:val="single" w:sz="4" w:space="0" w:color="000000"/>
            </w:tcBorders>
            <w:noWrap/>
            <w:hideMark/>
          </w:tcPr>
          <w:p w14:paraId="21F0773C"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732" w:type="dxa"/>
            <w:tcBorders>
              <w:top w:val="nil"/>
              <w:left w:val="nil"/>
              <w:bottom w:val="single" w:sz="4" w:space="0" w:color="000000"/>
              <w:right w:val="single" w:sz="4" w:space="0" w:color="000000"/>
            </w:tcBorders>
            <w:noWrap/>
            <w:hideMark/>
          </w:tcPr>
          <w:p w14:paraId="211AF125"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1235" w:type="dxa"/>
            <w:tcBorders>
              <w:top w:val="nil"/>
              <w:left w:val="nil"/>
              <w:bottom w:val="single" w:sz="4" w:space="0" w:color="000000"/>
              <w:right w:val="single" w:sz="4" w:space="0" w:color="000000"/>
            </w:tcBorders>
            <w:noWrap/>
            <w:hideMark/>
          </w:tcPr>
          <w:p w14:paraId="21A1E2B3"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(12.4)</w:t>
            </w:r>
          </w:p>
        </w:tc>
        <w:tc>
          <w:tcPr>
            <w:tcW w:w="937" w:type="dxa"/>
            <w:tcBorders>
              <w:top w:val="nil"/>
              <w:left w:val="nil"/>
              <w:bottom w:val="single" w:sz="4" w:space="0" w:color="000000"/>
              <w:right w:val="single" w:sz="4" w:space="0" w:color="000000"/>
            </w:tcBorders>
            <w:noWrap/>
            <w:hideMark/>
          </w:tcPr>
          <w:p w14:paraId="5A82A0BA"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19,574.9</w:t>
            </w:r>
          </w:p>
        </w:tc>
        <w:tc>
          <w:tcPr>
            <w:tcW w:w="947" w:type="dxa"/>
            <w:tcBorders>
              <w:top w:val="nil"/>
              <w:left w:val="nil"/>
              <w:bottom w:val="single" w:sz="4" w:space="0" w:color="000000"/>
              <w:right w:val="single" w:sz="4" w:space="0" w:color="000000"/>
            </w:tcBorders>
            <w:noWrap/>
            <w:hideMark/>
          </w:tcPr>
          <w:p w14:paraId="605CE625"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0.4</w:t>
            </w:r>
          </w:p>
        </w:tc>
        <w:tc>
          <w:tcPr>
            <w:tcW w:w="1158" w:type="dxa"/>
            <w:tcBorders>
              <w:top w:val="nil"/>
              <w:left w:val="nil"/>
              <w:bottom w:val="single" w:sz="4" w:space="0" w:color="000000"/>
              <w:right w:val="single" w:sz="4" w:space="0" w:color="000000"/>
            </w:tcBorders>
            <w:noWrap/>
            <w:hideMark/>
          </w:tcPr>
          <w:p w14:paraId="66F60CD4"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100%</w:t>
            </w:r>
          </w:p>
        </w:tc>
      </w:tr>
      <w:tr w:rsidR="00BD4E31" w:rsidRPr="00BD4E31" w14:paraId="4E1645D1" w14:textId="77777777" w:rsidTr="00BD4E31">
        <w:trPr>
          <w:trHeight w:val="275"/>
        </w:trPr>
        <w:tc>
          <w:tcPr>
            <w:tcW w:w="1129" w:type="dxa"/>
            <w:vMerge/>
            <w:tcBorders>
              <w:top w:val="nil"/>
              <w:left w:val="single" w:sz="4" w:space="0" w:color="000000"/>
              <w:bottom w:val="single" w:sz="4" w:space="0" w:color="000000"/>
              <w:right w:val="single" w:sz="4" w:space="0" w:color="000000"/>
            </w:tcBorders>
            <w:vAlign w:val="center"/>
            <w:hideMark/>
          </w:tcPr>
          <w:p w14:paraId="100FC520" w14:textId="77777777" w:rsidR="00BD4E31" w:rsidRPr="00BD4E31" w:rsidRDefault="00BD4E31">
            <w:pPr>
              <w:rPr>
                <w:rFonts w:ascii="Arial MT" w:hAnsi="Arial MT" w:cs="Calibri"/>
                <w:sz w:val="18"/>
                <w:szCs w:val="18"/>
              </w:rPr>
            </w:pPr>
          </w:p>
        </w:tc>
        <w:tc>
          <w:tcPr>
            <w:tcW w:w="1545" w:type="dxa"/>
            <w:tcBorders>
              <w:top w:val="nil"/>
              <w:left w:val="nil"/>
              <w:bottom w:val="single" w:sz="4" w:space="0" w:color="000000"/>
              <w:right w:val="single" w:sz="4" w:space="0" w:color="000000"/>
            </w:tcBorders>
            <w:noWrap/>
            <w:hideMark/>
          </w:tcPr>
          <w:p w14:paraId="480A1126" w14:textId="77777777" w:rsidR="00BD4E31" w:rsidRPr="00BD4E31" w:rsidRDefault="00BD4E31">
            <w:pPr>
              <w:ind w:firstLineChars="200" w:firstLine="360"/>
              <w:rPr>
                <w:rFonts w:ascii="Arial MT" w:hAnsi="Arial MT" w:cs="Calibri"/>
                <w:sz w:val="18"/>
                <w:szCs w:val="18"/>
              </w:rPr>
            </w:pPr>
            <w:r w:rsidRPr="00BD4E31">
              <w:rPr>
                <w:rFonts w:ascii="Arial" w:hAnsi="Arial" w:cs="Arial"/>
                <w:sz w:val="18"/>
                <w:szCs w:val="18"/>
              </w:rPr>
              <w:t>Resolución No. 273 de 2023</w:t>
            </w:r>
          </w:p>
        </w:tc>
        <w:tc>
          <w:tcPr>
            <w:tcW w:w="712" w:type="dxa"/>
            <w:tcBorders>
              <w:top w:val="nil"/>
              <w:left w:val="nil"/>
              <w:bottom w:val="single" w:sz="4" w:space="0" w:color="000000"/>
              <w:right w:val="single" w:sz="4" w:space="0" w:color="000000"/>
            </w:tcBorders>
            <w:noWrap/>
            <w:hideMark/>
          </w:tcPr>
          <w:p w14:paraId="4540C54E"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691" w:type="dxa"/>
            <w:tcBorders>
              <w:top w:val="nil"/>
              <w:left w:val="nil"/>
              <w:bottom w:val="single" w:sz="4" w:space="0" w:color="000000"/>
              <w:right w:val="single" w:sz="4" w:space="0" w:color="000000"/>
            </w:tcBorders>
            <w:noWrap/>
            <w:hideMark/>
          </w:tcPr>
          <w:p w14:paraId="60DE2DC1"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21,302.6</w:t>
            </w:r>
          </w:p>
        </w:tc>
        <w:tc>
          <w:tcPr>
            <w:tcW w:w="732" w:type="dxa"/>
            <w:tcBorders>
              <w:top w:val="nil"/>
              <w:left w:val="nil"/>
              <w:bottom w:val="single" w:sz="4" w:space="0" w:color="000000"/>
              <w:right w:val="single" w:sz="4" w:space="0" w:color="000000"/>
            </w:tcBorders>
            <w:noWrap/>
            <w:hideMark/>
          </w:tcPr>
          <w:p w14:paraId="468E3EF2"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1235" w:type="dxa"/>
            <w:tcBorders>
              <w:top w:val="nil"/>
              <w:left w:val="nil"/>
              <w:bottom w:val="single" w:sz="4" w:space="0" w:color="000000"/>
              <w:right w:val="single" w:sz="4" w:space="0" w:color="000000"/>
            </w:tcBorders>
            <w:noWrap/>
            <w:hideMark/>
          </w:tcPr>
          <w:p w14:paraId="5A11B117"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(118.4)</w:t>
            </w:r>
          </w:p>
        </w:tc>
        <w:tc>
          <w:tcPr>
            <w:tcW w:w="937" w:type="dxa"/>
            <w:tcBorders>
              <w:top w:val="nil"/>
              <w:left w:val="nil"/>
              <w:bottom w:val="single" w:sz="4" w:space="0" w:color="000000"/>
              <w:right w:val="single" w:sz="4" w:space="0" w:color="000000"/>
            </w:tcBorders>
            <w:noWrap/>
            <w:hideMark/>
          </w:tcPr>
          <w:p w14:paraId="73C39DC3"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3,738.1</w:t>
            </w:r>
          </w:p>
        </w:tc>
        <w:tc>
          <w:tcPr>
            <w:tcW w:w="947" w:type="dxa"/>
            <w:tcBorders>
              <w:top w:val="nil"/>
              <w:left w:val="nil"/>
              <w:bottom w:val="single" w:sz="4" w:space="0" w:color="000000"/>
              <w:right w:val="single" w:sz="4" w:space="0" w:color="000000"/>
            </w:tcBorders>
            <w:noWrap/>
            <w:hideMark/>
          </w:tcPr>
          <w:p w14:paraId="32883CF3"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17446.1</w:t>
            </w:r>
          </w:p>
        </w:tc>
        <w:tc>
          <w:tcPr>
            <w:tcW w:w="1158" w:type="dxa"/>
            <w:tcBorders>
              <w:top w:val="nil"/>
              <w:left w:val="nil"/>
              <w:bottom w:val="single" w:sz="4" w:space="0" w:color="000000"/>
              <w:right w:val="single" w:sz="4" w:space="0" w:color="000000"/>
            </w:tcBorders>
            <w:noWrap/>
            <w:hideMark/>
          </w:tcPr>
          <w:p w14:paraId="2F96FA8A"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18%</w:t>
            </w:r>
          </w:p>
        </w:tc>
      </w:tr>
      <w:tr w:rsidR="00BD4E31" w:rsidRPr="00BD4E31" w14:paraId="5BB9DDAE" w14:textId="77777777" w:rsidTr="00BD4E31">
        <w:trPr>
          <w:trHeight w:val="275"/>
        </w:trPr>
        <w:tc>
          <w:tcPr>
            <w:tcW w:w="1129" w:type="dxa"/>
            <w:vMerge/>
            <w:tcBorders>
              <w:top w:val="nil"/>
              <w:left w:val="single" w:sz="4" w:space="0" w:color="000000"/>
              <w:bottom w:val="single" w:sz="4" w:space="0" w:color="000000"/>
              <w:right w:val="single" w:sz="4" w:space="0" w:color="000000"/>
            </w:tcBorders>
            <w:vAlign w:val="center"/>
            <w:hideMark/>
          </w:tcPr>
          <w:p w14:paraId="478139EB" w14:textId="77777777" w:rsidR="00BD4E31" w:rsidRPr="00BD4E31" w:rsidRDefault="00BD4E31">
            <w:pPr>
              <w:rPr>
                <w:rFonts w:ascii="Arial MT" w:hAnsi="Arial MT" w:cs="Calibri"/>
                <w:sz w:val="18"/>
                <w:szCs w:val="18"/>
              </w:rPr>
            </w:pPr>
          </w:p>
        </w:tc>
        <w:tc>
          <w:tcPr>
            <w:tcW w:w="1545" w:type="dxa"/>
            <w:tcBorders>
              <w:top w:val="nil"/>
              <w:left w:val="nil"/>
              <w:bottom w:val="single" w:sz="4" w:space="0" w:color="000000"/>
              <w:right w:val="single" w:sz="4" w:space="0" w:color="000000"/>
            </w:tcBorders>
            <w:noWrap/>
            <w:hideMark/>
          </w:tcPr>
          <w:p w14:paraId="4397C1CA" w14:textId="77777777" w:rsidR="00BD4E31" w:rsidRPr="00BD4E31" w:rsidRDefault="00BD4E31">
            <w:pPr>
              <w:ind w:firstLineChars="200" w:firstLine="360"/>
              <w:rPr>
                <w:rFonts w:ascii="Arial MT" w:hAnsi="Arial MT" w:cs="Calibri"/>
                <w:sz w:val="18"/>
                <w:szCs w:val="18"/>
              </w:rPr>
            </w:pPr>
            <w:r w:rsidRPr="00BD4E31">
              <w:rPr>
                <w:rFonts w:ascii="Arial" w:hAnsi="Arial" w:cs="Arial"/>
                <w:sz w:val="18"/>
                <w:szCs w:val="18"/>
              </w:rPr>
              <w:t>Resolución No. 017 de 2023</w:t>
            </w:r>
          </w:p>
        </w:tc>
        <w:tc>
          <w:tcPr>
            <w:tcW w:w="712" w:type="dxa"/>
            <w:tcBorders>
              <w:top w:val="nil"/>
              <w:left w:val="nil"/>
              <w:bottom w:val="single" w:sz="4" w:space="0" w:color="000000"/>
              <w:right w:val="single" w:sz="4" w:space="0" w:color="000000"/>
            </w:tcBorders>
            <w:noWrap/>
            <w:hideMark/>
          </w:tcPr>
          <w:p w14:paraId="2FF23EEC"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691" w:type="dxa"/>
            <w:tcBorders>
              <w:top w:val="nil"/>
              <w:left w:val="nil"/>
              <w:bottom w:val="single" w:sz="4" w:space="0" w:color="000000"/>
              <w:right w:val="single" w:sz="4" w:space="0" w:color="000000"/>
            </w:tcBorders>
            <w:noWrap/>
            <w:hideMark/>
          </w:tcPr>
          <w:p w14:paraId="7B64A3B8"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2,361.9</w:t>
            </w:r>
          </w:p>
        </w:tc>
        <w:tc>
          <w:tcPr>
            <w:tcW w:w="732" w:type="dxa"/>
            <w:tcBorders>
              <w:top w:val="nil"/>
              <w:left w:val="nil"/>
              <w:bottom w:val="single" w:sz="4" w:space="0" w:color="000000"/>
              <w:right w:val="single" w:sz="4" w:space="0" w:color="000000"/>
            </w:tcBorders>
            <w:noWrap/>
            <w:hideMark/>
          </w:tcPr>
          <w:p w14:paraId="5EE9CEB1"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1235" w:type="dxa"/>
            <w:tcBorders>
              <w:top w:val="nil"/>
              <w:left w:val="nil"/>
              <w:bottom w:val="single" w:sz="4" w:space="0" w:color="000000"/>
              <w:right w:val="single" w:sz="4" w:space="0" w:color="000000"/>
            </w:tcBorders>
            <w:noWrap/>
            <w:hideMark/>
          </w:tcPr>
          <w:p w14:paraId="4AAB3816"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937" w:type="dxa"/>
            <w:tcBorders>
              <w:top w:val="nil"/>
              <w:left w:val="nil"/>
              <w:bottom w:val="single" w:sz="4" w:space="0" w:color="000000"/>
              <w:right w:val="single" w:sz="4" w:space="0" w:color="000000"/>
            </w:tcBorders>
            <w:noWrap/>
            <w:hideMark/>
          </w:tcPr>
          <w:p w14:paraId="25939164"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950.8</w:t>
            </w:r>
          </w:p>
        </w:tc>
        <w:tc>
          <w:tcPr>
            <w:tcW w:w="947" w:type="dxa"/>
            <w:tcBorders>
              <w:top w:val="nil"/>
              <w:left w:val="nil"/>
              <w:bottom w:val="single" w:sz="4" w:space="0" w:color="000000"/>
              <w:right w:val="single" w:sz="4" w:space="0" w:color="000000"/>
            </w:tcBorders>
            <w:noWrap/>
            <w:hideMark/>
          </w:tcPr>
          <w:p w14:paraId="293D644C"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1,411.1</w:t>
            </w:r>
          </w:p>
        </w:tc>
        <w:tc>
          <w:tcPr>
            <w:tcW w:w="1158" w:type="dxa"/>
            <w:tcBorders>
              <w:top w:val="nil"/>
              <w:left w:val="nil"/>
              <w:bottom w:val="single" w:sz="4" w:space="0" w:color="000000"/>
              <w:right w:val="single" w:sz="4" w:space="0" w:color="000000"/>
            </w:tcBorders>
            <w:noWrap/>
            <w:hideMark/>
          </w:tcPr>
          <w:p w14:paraId="333D8F94"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40%</w:t>
            </w:r>
          </w:p>
        </w:tc>
      </w:tr>
      <w:tr w:rsidR="00BD4E31" w:rsidRPr="00BD4E31" w14:paraId="7B03F00F" w14:textId="77777777" w:rsidTr="00BD4E31">
        <w:trPr>
          <w:trHeight w:val="275"/>
        </w:trPr>
        <w:tc>
          <w:tcPr>
            <w:tcW w:w="1129" w:type="dxa"/>
            <w:vMerge/>
            <w:tcBorders>
              <w:top w:val="nil"/>
              <w:left w:val="single" w:sz="4" w:space="0" w:color="000000"/>
              <w:bottom w:val="single" w:sz="4" w:space="0" w:color="000000"/>
              <w:right w:val="single" w:sz="4" w:space="0" w:color="000000"/>
            </w:tcBorders>
            <w:vAlign w:val="center"/>
            <w:hideMark/>
          </w:tcPr>
          <w:p w14:paraId="047A4FE7" w14:textId="77777777" w:rsidR="00BD4E31" w:rsidRPr="00BD4E31" w:rsidRDefault="00BD4E31">
            <w:pPr>
              <w:rPr>
                <w:rFonts w:ascii="Arial MT" w:hAnsi="Arial MT" w:cs="Calibri"/>
                <w:sz w:val="18"/>
                <w:szCs w:val="18"/>
              </w:rPr>
            </w:pPr>
          </w:p>
        </w:tc>
        <w:tc>
          <w:tcPr>
            <w:tcW w:w="1545" w:type="dxa"/>
            <w:tcBorders>
              <w:top w:val="nil"/>
              <w:left w:val="nil"/>
              <w:bottom w:val="single" w:sz="4" w:space="0" w:color="000000"/>
              <w:right w:val="single" w:sz="4" w:space="0" w:color="000000"/>
            </w:tcBorders>
            <w:noWrap/>
            <w:hideMark/>
          </w:tcPr>
          <w:p w14:paraId="635815C6" w14:textId="77777777" w:rsidR="00BD4E31" w:rsidRPr="00BD4E31" w:rsidRDefault="00BD4E31">
            <w:pPr>
              <w:ind w:firstLineChars="200" w:firstLine="360"/>
              <w:rPr>
                <w:rFonts w:ascii="Arial MT" w:hAnsi="Arial MT" w:cs="Calibri"/>
                <w:sz w:val="18"/>
                <w:szCs w:val="18"/>
              </w:rPr>
            </w:pPr>
            <w:r w:rsidRPr="00BD4E31">
              <w:rPr>
                <w:rFonts w:ascii="Arial" w:hAnsi="Arial" w:cs="Arial"/>
                <w:sz w:val="18"/>
                <w:szCs w:val="18"/>
              </w:rPr>
              <w:t>Hogares Retirados</w:t>
            </w:r>
          </w:p>
        </w:tc>
        <w:tc>
          <w:tcPr>
            <w:tcW w:w="712" w:type="dxa"/>
            <w:tcBorders>
              <w:top w:val="nil"/>
              <w:left w:val="nil"/>
              <w:bottom w:val="single" w:sz="4" w:space="0" w:color="000000"/>
              <w:right w:val="single" w:sz="4" w:space="0" w:color="000000"/>
            </w:tcBorders>
            <w:noWrap/>
            <w:hideMark/>
          </w:tcPr>
          <w:p w14:paraId="45484A5C"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691" w:type="dxa"/>
            <w:tcBorders>
              <w:top w:val="nil"/>
              <w:left w:val="nil"/>
              <w:bottom w:val="single" w:sz="4" w:space="0" w:color="000000"/>
              <w:right w:val="single" w:sz="4" w:space="0" w:color="000000"/>
            </w:tcBorders>
            <w:noWrap/>
            <w:hideMark/>
          </w:tcPr>
          <w:p w14:paraId="015987D0"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732" w:type="dxa"/>
            <w:tcBorders>
              <w:top w:val="nil"/>
              <w:left w:val="nil"/>
              <w:bottom w:val="single" w:sz="4" w:space="0" w:color="000000"/>
              <w:right w:val="single" w:sz="4" w:space="0" w:color="000000"/>
            </w:tcBorders>
            <w:noWrap/>
            <w:hideMark/>
          </w:tcPr>
          <w:p w14:paraId="62BBE89D"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1235" w:type="dxa"/>
            <w:tcBorders>
              <w:top w:val="nil"/>
              <w:left w:val="nil"/>
              <w:bottom w:val="single" w:sz="4" w:space="0" w:color="000000"/>
              <w:right w:val="single" w:sz="4" w:space="0" w:color="000000"/>
            </w:tcBorders>
            <w:noWrap/>
            <w:hideMark/>
          </w:tcPr>
          <w:p w14:paraId="5DD7B5C3"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1,038.5</w:t>
            </w:r>
          </w:p>
        </w:tc>
        <w:tc>
          <w:tcPr>
            <w:tcW w:w="937" w:type="dxa"/>
            <w:tcBorders>
              <w:top w:val="nil"/>
              <w:left w:val="nil"/>
              <w:bottom w:val="single" w:sz="4" w:space="0" w:color="000000"/>
              <w:right w:val="single" w:sz="4" w:space="0" w:color="000000"/>
            </w:tcBorders>
            <w:noWrap/>
            <w:hideMark/>
          </w:tcPr>
          <w:p w14:paraId="3764E045"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0.0</w:t>
            </w:r>
          </w:p>
        </w:tc>
        <w:tc>
          <w:tcPr>
            <w:tcW w:w="947" w:type="dxa"/>
            <w:tcBorders>
              <w:top w:val="nil"/>
              <w:left w:val="nil"/>
              <w:bottom w:val="single" w:sz="4" w:space="0" w:color="000000"/>
              <w:right w:val="single" w:sz="4" w:space="0" w:color="000000"/>
            </w:tcBorders>
            <w:noWrap/>
            <w:hideMark/>
          </w:tcPr>
          <w:p w14:paraId="33FC7628" w14:textId="77777777" w:rsidR="00BD4E31" w:rsidRPr="00BD4E31" w:rsidRDefault="00BD4E31">
            <w:pPr>
              <w:jc w:val="right"/>
              <w:rPr>
                <w:rFonts w:ascii="Arial" w:hAnsi="Arial" w:cs="Arial"/>
                <w:b/>
                <w:bCs/>
                <w:color w:val="000000"/>
                <w:sz w:val="18"/>
                <w:szCs w:val="18"/>
              </w:rPr>
            </w:pPr>
            <w:r w:rsidRPr="00BD4E31">
              <w:rPr>
                <w:rFonts w:ascii="Arial" w:hAnsi="Arial" w:cs="Arial"/>
                <w:b/>
                <w:bCs/>
                <w:color w:val="000000"/>
                <w:sz w:val="18"/>
                <w:szCs w:val="18"/>
              </w:rPr>
              <w:t>1,038.5</w:t>
            </w:r>
          </w:p>
        </w:tc>
        <w:tc>
          <w:tcPr>
            <w:tcW w:w="1158" w:type="dxa"/>
            <w:tcBorders>
              <w:top w:val="nil"/>
              <w:left w:val="nil"/>
              <w:bottom w:val="single" w:sz="4" w:space="0" w:color="000000"/>
              <w:right w:val="single" w:sz="4" w:space="0" w:color="000000"/>
            </w:tcBorders>
            <w:noWrap/>
            <w:hideMark/>
          </w:tcPr>
          <w:p w14:paraId="774DB41F" w14:textId="77777777" w:rsidR="00BD4E31" w:rsidRPr="00BD4E31" w:rsidRDefault="00BD4E31">
            <w:pPr>
              <w:jc w:val="right"/>
              <w:rPr>
                <w:rFonts w:ascii="Arial MT" w:hAnsi="Arial MT" w:cs="Calibri"/>
                <w:color w:val="000000"/>
                <w:sz w:val="18"/>
                <w:szCs w:val="18"/>
              </w:rPr>
            </w:pPr>
            <w:r w:rsidRPr="00BD4E31">
              <w:rPr>
                <w:rFonts w:ascii="Arial MT" w:hAnsi="Arial MT" w:cs="Calibri"/>
                <w:color w:val="000000"/>
                <w:sz w:val="18"/>
                <w:szCs w:val="18"/>
              </w:rPr>
              <w:t>0%</w:t>
            </w:r>
          </w:p>
        </w:tc>
      </w:tr>
    </w:tbl>
    <w:p w14:paraId="7D242223" w14:textId="69F1E11A" w:rsidR="00343DC1" w:rsidRDefault="00CF6D5F" w:rsidP="00AB2929">
      <w:pPr>
        <w:jc w:val="right"/>
        <w:rPr>
          <w:rFonts w:ascii="Arial" w:hAnsi="Arial" w:cs="Arial"/>
          <w:sz w:val="22"/>
          <w:szCs w:val="22"/>
        </w:rPr>
      </w:pPr>
      <w:r>
        <w:rPr>
          <w:rFonts w:ascii="Arial" w:hAnsi="Arial" w:cs="Arial"/>
          <w:sz w:val="22"/>
          <w:szCs w:val="22"/>
        </w:rPr>
        <w:t xml:space="preserve">Fuente. </w:t>
      </w:r>
      <w:r w:rsidR="006B569A">
        <w:rPr>
          <w:rFonts w:ascii="Arial" w:hAnsi="Arial" w:cs="Arial"/>
          <w:sz w:val="22"/>
          <w:szCs w:val="22"/>
        </w:rPr>
        <w:t>Certificación del Banco Agrario de Colombia de fecha 3</w:t>
      </w:r>
      <w:r w:rsidR="006B569A" w:rsidRPr="006B569A">
        <w:rPr>
          <w:rFonts w:ascii="Arial" w:hAnsi="Arial" w:cs="Arial"/>
          <w:sz w:val="22"/>
          <w:szCs w:val="22"/>
        </w:rPr>
        <w:t xml:space="preserve"> de agosto de 2025</w:t>
      </w:r>
    </w:p>
    <w:p w14:paraId="04A1A3EB" w14:textId="02AD42D9" w:rsidR="009442AB" w:rsidRDefault="009442AB" w:rsidP="00CF6D5F">
      <w:pPr>
        <w:jc w:val="both"/>
        <w:rPr>
          <w:rFonts w:ascii="Arial" w:hAnsi="Arial" w:cs="Arial"/>
          <w:b/>
          <w:bCs/>
          <w:sz w:val="22"/>
          <w:szCs w:val="22"/>
        </w:rPr>
      </w:pPr>
    </w:p>
    <w:p w14:paraId="4C921C37" w14:textId="4C2A1E7C" w:rsidR="00CF6D5F" w:rsidRPr="006363C5" w:rsidRDefault="006363C5" w:rsidP="00CF6D5F">
      <w:pPr>
        <w:jc w:val="both"/>
        <w:rPr>
          <w:rFonts w:ascii="Arial" w:hAnsi="Arial" w:cs="Arial"/>
          <w:sz w:val="22"/>
          <w:szCs w:val="22"/>
        </w:rPr>
      </w:pPr>
      <w:commentRangeStart w:id="24"/>
      <w:r w:rsidRPr="006363C5">
        <w:rPr>
          <w:rFonts w:ascii="Arial" w:hAnsi="Arial" w:cs="Arial"/>
          <w:b/>
          <w:bCs/>
          <w:sz w:val="22"/>
          <w:szCs w:val="22"/>
        </w:rPr>
        <w:t>Gestión de pago de vigencia expirada</w:t>
      </w:r>
      <w:r w:rsidRPr="006363C5">
        <w:rPr>
          <w:rFonts w:ascii="Arial" w:hAnsi="Arial" w:cs="Arial"/>
          <w:sz w:val="22"/>
          <w:szCs w:val="22"/>
        </w:rPr>
        <w:t xml:space="preserve">. </w:t>
      </w:r>
      <w:commentRangeEnd w:id="24"/>
      <w:r w:rsidR="00213B0C" w:rsidRPr="00213B0C">
        <w:rPr>
          <w:rStyle w:val="Refdecomentario"/>
          <w:rFonts w:ascii="Arial" w:hAnsi="Arial" w:cs="Arial"/>
          <w:color w:val="EE0000"/>
          <w:sz w:val="22"/>
          <w:szCs w:val="22"/>
        </w:rPr>
        <w:commentReference w:id="24"/>
      </w:r>
      <w:r w:rsidR="00213B0C" w:rsidRPr="00213B0C">
        <w:rPr>
          <w:rFonts w:ascii="Arial" w:hAnsi="Arial" w:cs="Arial"/>
          <w:color w:val="EE0000"/>
          <w:sz w:val="22"/>
          <w:szCs w:val="22"/>
        </w:rPr>
        <w:t>(HARRISON)</w:t>
      </w:r>
    </w:p>
    <w:p w14:paraId="2E210D0A" w14:textId="77777777" w:rsidR="009442AB" w:rsidRDefault="009442AB" w:rsidP="00CB24C7">
      <w:pPr>
        <w:pStyle w:val="Prrafodelista"/>
        <w:jc w:val="both"/>
        <w:rPr>
          <w:rFonts w:ascii="Arial" w:hAnsi="Arial" w:cs="Arial"/>
          <w:sz w:val="22"/>
          <w:szCs w:val="22"/>
        </w:rPr>
      </w:pPr>
    </w:p>
    <w:p w14:paraId="00A29DC6" w14:textId="77777777" w:rsidR="00594DEB" w:rsidRPr="00594DEB" w:rsidRDefault="00594DEB" w:rsidP="00594DEB">
      <w:pPr>
        <w:jc w:val="both"/>
        <w:rPr>
          <w:rFonts w:ascii="Arial" w:hAnsi="Arial" w:cs="Arial"/>
          <w:sz w:val="22"/>
          <w:szCs w:val="22"/>
          <w:lang w:val="es-MX"/>
        </w:rPr>
      </w:pPr>
      <w:r w:rsidRPr="00594DEB">
        <w:rPr>
          <w:rFonts w:ascii="Arial" w:hAnsi="Arial" w:cs="Arial"/>
          <w:sz w:val="22"/>
          <w:szCs w:val="22"/>
        </w:rPr>
        <w:t>Se hace necesario presentar en este informe la gestión adelantada por la Dirección de Gestión de Bienes Público Rurales en la presente anualidad para realizar el pago de la vigencia expirada correspondiente a la Resolución 273 de 2023.</w:t>
      </w:r>
      <w:r w:rsidRPr="00594DEB">
        <w:rPr>
          <w:rFonts w:ascii="Arial" w:hAnsi="Arial" w:cs="Arial"/>
          <w:sz w:val="22"/>
          <w:szCs w:val="22"/>
          <w:lang w:val="es-MX"/>
        </w:rPr>
        <w:t> </w:t>
      </w:r>
    </w:p>
    <w:p w14:paraId="798B6E3F" w14:textId="77777777" w:rsidR="00594DEB" w:rsidRPr="00594DEB" w:rsidRDefault="00594DEB" w:rsidP="00594DEB">
      <w:pPr>
        <w:jc w:val="both"/>
        <w:rPr>
          <w:rFonts w:ascii="Arial" w:hAnsi="Arial" w:cs="Arial"/>
          <w:sz w:val="22"/>
          <w:szCs w:val="22"/>
          <w:lang w:val="es-MX"/>
        </w:rPr>
      </w:pPr>
      <w:r w:rsidRPr="00594DEB">
        <w:rPr>
          <w:rFonts w:ascii="Arial" w:hAnsi="Arial" w:cs="Arial"/>
          <w:sz w:val="22"/>
          <w:szCs w:val="22"/>
          <w:lang w:val="es-MX"/>
        </w:rPr>
        <w:t> </w:t>
      </w:r>
    </w:p>
    <w:p w14:paraId="7511655D" w14:textId="77777777" w:rsidR="00594DEB" w:rsidRPr="00594DEB" w:rsidRDefault="00594DEB" w:rsidP="00594DEB">
      <w:pPr>
        <w:numPr>
          <w:ilvl w:val="0"/>
          <w:numId w:val="16"/>
        </w:numPr>
        <w:jc w:val="both"/>
        <w:rPr>
          <w:rFonts w:ascii="Arial" w:hAnsi="Arial" w:cs="Arial"/>
          <w:sz w:val="22"/>
          <w:szCs w:val="22"/>
          <w:lang w:val="es-MX"/>
        </w:rPr>
      </w:pPr>
      <w:r w:rsidRPr="00594DEB">
        <w:rPr>
          <w:rFonts w:ascii="Arial" w:hAnsi="Arial" w:cs="Arial"/>
          <w:sz w:val="22"/>
          <w:szCs w:val="22"/>
        </w:rPr>
        <w:t>Mediante la Resolución 365 de 2025, la </w:t>
      </w:r>
      <w:proofErr w:type="gramStart"/>
      <w:r w:rsidRPr="00594DEB">
        <w:rPr>
          <w:rFonts w:ascii="Arial" w:hAnsi="Arial" w:cs="Arial"/>
          <w:sz w:val="22"/>
          <w:szCs w:val="22"/>
        </w:rPr>
        <w:t>Ministra</w:t>
      </w:r>
      <w:proofErr w:type="gramEnd"/>
      <w:r w:rsidRPr="00594DEB">
        <w:rPr>
          <w:rFonts w:ascii="Arial" w:hAnsi="Arial" w:cs="Arial"/>
          <w:sz w:val="22"/>
          <w:szCs w:val="22"/>
        </w:rPr>
        <w:t> de Agricultura y Desarrollo Rural Como resultado un compromiso presupuestal al Banco Agrario de Colombia la suma de $19.299.308.42.28.</w:t>
      </w:r>
      <w:r w:rsidRPr="00594DEB">
        <w:rPr>
          <w:rFonts w:ascii="Arial" w:hAnsi="Arial" w:cs="Arial"/>
          <w:sz w:val="22"/>
          <w:szCs w:val="22"/>
          <w:lang w:val="es-MX"/>
        </w:rPr>
        <w:t> </w:t>
      </w:r>
    </w:p>
    <w:p w14:paraId="376A9D8B" w14:textId="77777777" w:rsidR="00594DEB" w:rsidRPr="00594DEB" w:rsidRDefault="00594DEB" w:rsidP="00594DEB">
      <w:pPr>
        <w:jc w:val="both"/>
        <w:rPr>
          <w:rFonts w:ascii="Arial" w:hAnsi="Arial" w:cs="Arial"/>
          <w:sz w:val="22"/>
          <w:szCs w:val="22"/>
          <w:lang w:val="es-MX"/>
        </w:rPr>
      </w:pPr>
      <w:r w:rsidRPr="00594DEB">
        <w:rPr>
          <w:rFonts w:ascii="Arial" w:hAnsi="Arial" w:cs="Arial"/>
          <w:sz w:val="22"/>
          <w:szCs w:val="22"/>
          <w:lang w:val="es-MX"/>
        </w:rPr>
        <w:t> </w:t>
      </w:r>
    </w:p>
    <w:p w14:paraId="102AA19C" w14:textId="77777777" w:rsidR="00594DEB" w:rsidRPr="00594DEB" w:rsidRDefault="00594DEB" w:rsidP="00594DEB">
      <w:pPr>
        <w:numPr>
          <w:ilvl w:val="0"/>
          <w:numId w:val="17"/>
        </w:numPr>
        <w:jc w:val="both"/>
        <w:rPr>
          <w:rFonts w:ascii="Arial" w:hAnsi="Arial" w:cs="Arial"/>
          <w:sz w:val="22"/>
          <w:szCs w:val="22"/>
          <w:lang w:val="es-MX"/>
        </w:rPr>
      </w:pPr>
      <w:r w:rsidRPr="00594DEB">
        <w:rPr>
          <w:rFonts w:ascii="Arial" w:hAnsi="Arial" w:cs="Arial"/>
          <w:sz w:val="22"/>
          <w:szCs w:val="22"/>
        </w:rPr>
        <w:t>Como se reportó en el informe periódico anterior, el Banco Agrario de Colombia aclaró el valor a girar, el cual se confirma en el siguiente cuadro resumen: </w:t>
      </w:r>
      <w:r w:rsidRPr="00594DEB">
        <w:rPr>
          <w:rFonts w:ascii="Arial" w:hAnsi="Arial" w:cs="Arial"/>
          <w:sz w:val="22"/>
          <w:szCs w:val="22"/>
          <w:lang w:val="es-MX"/>
        </w:rPr>
        <w:t> </w:t>
      </w:r>
    </w:p>
    <w:p w14:paraId="4E86956B" w14:textId="77777777" w:rsidR="00594DEB" w:rsidRPr="00594DEB" w:rsidRDefault="00594DEB" w:rsidP="00594DEB">
      <w:pPr>
        <w:jc w:val="both"/>
        <w:rPr>
          <w:rFonts w:ascii="Arial" w:hAnsi="Arial" w:cs="Arial"/>
          <w:sz w:val="22"/>
          <w:szCs w:val="22"/>
          <w:lang w:val="es-MX"/>
        </w:rPr>
      </w:pPr>
      <w:r w:rsidRPr="00594DEB">
        <w:rPr>
          <w:rFonts w:ascii="Arial" w:hAnsi="Arial" w:cs="Arial"/>
          <w:sz w:val="22"/>
          <w:szCs w:val="22"/>
          <w:lang w:val="es-MX"/>
        </w:rPr>
        <w:t> </w:t>
      </w:r>
    </w:p>
    <w:p w14:paraId="1C1F091C" w14:textId="77777777" w:rsidR="00594DEB" w:rsidRPr="00594DEB" w:rsidRDefault="00594DEB" w:rsidP="00594DEB">
      <w:pPr>
        <w:jc w:val="both"/>
        <w:rPr>
          <w:rFonts w:ascii="Arial" w:hAnsi="Arial" w:cs="Arial"/>
          <w:sz w:val="22"/>
          <w:szCs w:val="22"/>
          <w:lang w:val="es-MX"/>
        </w:rPr>
      </w:pPr>
      <w:r w:rsidRPr="00594DEB">
        <w:rPr>
          <w:rFonts w:ascii="Arial" w:hAnsi="Arial" w:cs="Arial"/>
          <w:sz w:val="22"/>
          <w:szCs w:val="22"/>
        </w:rPr>
        <w:lastRenderedPageBreak/>
        <w:t>De acuerdo con lo anteriormente mencionado a continuación, se presenta el cuadro resumen de la Resolución 273 de 2023:</w:t>
      </w:r>
      <w:r w:rsidRPr="00594DEB">
        <w:rPr>
          <w:rFonts w:ascii="Arial" w:hAnsi="Arial" w:cs="Arial"/>
          <w:sz w:val="22"/>
          <w:szCs w:val="22"/>
          <w:lang w:val="es-MX"/>
        </w:rPr>
        <w:t> </w:t>
      </w:r>
    </w:p>
    <w:p w14:paraId="4B79881E" w14:textId="3134CAD5" w:rsidR="00DE26B3" w:rsidRPr="00DE26B3" w:rsidRDefault="00DE26B3" w:rsidP="00DE26B3">
      <w:pPr>
        <w:jc w:val="both"/>
        <w:rPr>
          <w:rFonts w:ascii="Arial" w:hAnsi="Arial" w:cs="Arial"/>
          <w:sz w:val="22"/>
          <w:szCs w:val="22"/>
          <w:lang w:val="es-MX"/>
        </w:rPr>
      </w:pPr>
      <w:r w:rsidRPr="00DE26B3">
        <w:rPr>
          <w:rFonts w:ascii="Arial" w:hAnsi="Arial" w:cs="Arial"/>
          <w:noProof/>
          <w:sz w:val="22"/>
          <w:szCs w:val="22"/>
          <w:lang w:val="es-MX"/>
        </w:rPr>
        <w:drawing>
          <wp:inline distT="0" distB="0" distL="0" distR="0" wp14:anchorId="41C4B335" wp14:editId="2FD59EAB">
            <wp:extent cx="5612130" cy="1139190"/>
            <wp:effectExtent l="0" t="0" r="7620" b="3810"/>
            <wp:docPr id="316298971" name="Imagen 1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abla&#10;&#10;El contenido generado por IA puede ser incorrect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2130" cy="1139190"/>
                    </a:xfrm>
                    <a:prstGeom prst="rect">
                      <a:avLst/>
                    </a:prstGeom>
                    <a:noFill/>
                    <a:ln>
                      <a:noFill/>
                    </a:ln>
                  </pic:spPr>
                </pic:pic>
              </a:graphicData>
            </a:graphic>
          </wp:inline>
        </w:drawing>
      </w:r>
      <w:r w:rsidRPr="00DE26B3">
        <w:rPr>
          <w:rFonts w:ascii="Arial" w:hAnsi="Arial" w:cs="Arial"/>
          <w:sz w:val="22"/>
          <w:szCs w:val="22"/>
          <w:lang w:val="es-MX"/>
        </w:rPr>
        <w:t> </w:t>
      </w:r>
    </w:p>
    <w:p w14:paraId="0DB4B765" w14:textId="77777777" w:rsidR="00CD26F2" w:rsidRDefault="00CD26F2" w:rsidP="00CD26F2">
      <w:pPr>
        <w:pStyle w:val="paragraph"/>
        <w:spacing w:before="0" w:beforeAutospacing="0" w:after="0" w:afterAutospacing="0"/>
        <w:jc w:val="both"/>
        <w:textAlignment w:val="baseline"/>
        <w:rPr>
          <w:rFonts w:ascii="Segoe UI" w:hAnsi="Segoe UI" w:cs="Segoe UI"/>
          <w:sz w:val="18"/>
          <w:szCs w:val="18"/>
        </w:rPr>
      </w:pPr>
      <w:r>
        <w:rPr>
          <w:rStyle w:val="normaltextrun"/>
          <w:rFonts w:ascii="Arial" w:eastAsiaTheme="majorEastAsia" w:hAnsi="Arial" w:cs="Arial"/>
          <w:sz w:val="22"/>
          <w:szCs w:val="22"/>
          <w:lang w:val="es-CO"/>
        </w:rPr>
        <w:t>Una vez determinado este valor, la Ministra de Agricultura y Desarrollo AD-HOC emitió la Resolución Administrativa 365 de 2025, mediante la cual aclaró el valor a girar al Banco Agrario de Colombia y a la fecha de elaboración del presente informe, se radicó ante Secretaría General el proyecto de Resolución mediante la cual se reconoce el valor a pagar, lo anterior una vez surtido todo el trámite de revisión de la Subgerencia Financiera registrado en debida forma a través del oficio </w:t>
      </w:r>
      <w:r>
        <w:rPr>
          <w:rStyle w:val="normaltextrun"/>
          <w:rFonts w:ascii="Arial" w:eastAsiaTheme="majorEastAsia" w:hAnsi="Arial" w:cs="Arial"/>
          <w:sz w:val="22"/>
          <w:szCs w:val="22"/>
        </w:rPr>
        <w:t>2025-440-010793-3</w:t>
      </w:r>
      <w:r>
        <w:rPr>
          <w:rStyle w:val="normaltextrun"/>
          <w:rFonts w:ascii="Arial" w:eastAsiaTheme="majorEastAsia" w:hAnsi="Arial" w:cs="Arial"/>
          <w:sz w:val="22"/>
          <w:szCs w:val="22"/>
          <w:lang w:val="es-CO"/>
        </w:rPr>
        <w:t>. </w:t>
      </w:r>
      <w:r>
        <w:rPr>
          <w:rStyle w:val="eop"/>
          <w:rFonts w:ascii="Arial" w:eastAsiaTheme="majorEastAsia" w:hAnsi="Arial" w:cs="Arial"/>
          <w:sz w:val="22"/>
          <w:szCs w:val="22"/>
        </w:rPr>
        <w:t> </w:t>
      </w:r>
    </w:p>
    <w:p w14:paraId="1B20BE7F" w14:textId="68EC5044" w:rsidR="00CD26F2" w:rsidRPr="00CD26F2" w:rsidRDefault="00CD26F2" w:rsidP="00CD26F2">
      <w:pPr>
        <w:pStyle w:val="paragraph"/>
        <w:spacing w:before="0" w:beforeAutospacing="0" w:after="0" w:afterAutospacing="0"/>
        <w:ind w:left="720"/>
        <w:jc w:val="both"/>
        <w:textAlignment w:val="baseline"/>
        <w:rPr>
          <w:rFonts w:ascii="Segoe UI" w:hAnsi="Segoe UI" w:cs="Segoe UI"/>
          <w:sz w:val="18"/>
          <w:szCs w:val="18"/>
        </w:rPr>
      </w:pPr>
    </w:p>
    <w:p w14:paraId="7364EAD7" w14:textId="67B58677" w:rsidR="00DE26B3" w:rsidRPr="00CD26F2" w:rsidRDefault="00DE26B3" w:rsidP="00F8307C">
      <w:pPr>
        <w:pStyle w:val="Ttulo1"/>
        <w:numPr>
          <w:ilvl w:val="1"/>
          <w:numId w:val="7"/>
        </w:numPr>
        <w:spacing w:before="0"/>
        <w:jc w:val="both"/>
        <w:rPr>
          <w:rFonts w:ascii="Arial" w:hAnsi="Arial" w:cs="Arial"/>
          <w:b/>
          <w:bCs/>
          <w:color w:val="385623" w:themeColor="accent6" w:themeShade="80"/>
          <w:sz w:val="22"/>
          <w:szCs w:val="22"/>
          <w:lang w:val="es-ES_tradnl"/>
        </w:rPr>
      </w:pPr>
      <w:r w:rsidRPr="00CD26F2">
        <w:rPr>
          <w:rFonts w:ascii="Arial" w:hAnsi="Arial" w:cs="Arial"/>
          <w:b/>
          <w:bCs/>
          <w:color w:val="385623" w:themeColor="accent6" w:themeShade="80"/>
          <w:sz w:val="22"/>
          <w:szCs w:val="22"/>
          <w:lang w:val="es-ES_tradnl"/>
        </w:rPr>
        <w:t xml:space="preserve"> </w:t>
      </w:r>
      <w:bookmarkStart w:id="25" w:name="_Toc225874785"/>
      <w:r w:rsidRPr="00CD26F2">
        <w:rPr>
          <w:rFonts w:ascii="Arial" w:hAnsi="Arial" w:cs="Arial"/>
          <w:b/>
          <w:bCs/>
          <w:color w:val="385623" w:themeColor="accent6" w:themeShade="80"/>
          <w:sz w:val="22"/>
          <w:szCs w:val="22"/>
          <w:lang w:val="es-ES_tradnl"/>
        </w:rPr>
        <w:t>Auditoría realizada</w:t>
      </w:r>
      <w:r w:rsidR="00F8307C" w:rsidRPr="00CD26F2">
        <w:rPr>
          <w:rFonts w:ascii="Arial" w:hAnsi="Arial" w:cs="Arial"/>
          <w:b/>
          <w:bCs/>
          <w:color w:val="385623" w:themeColor="accent6" w:themeShade="80"/>
          <w:sz w:val="22"/>
          <w:szCs w:val="22"/>
          <w:lang w:val="es-ES_tradnl"/>
        </w:rPr>
        <w:t xml:space="preserve"> al programa de vivienda de interés social rural</w:t>
      </w:r>
      <w:bookmarkEnd w:id="25"/>
    </w:p>
    <w:p w14:paraId="3A43D61D" w14:textId="77777777" w:rsidR="00DE26B3" w:rsidRDefault="00DE26B3" w:rsidP="00DE26B3">
      <w:pPr>
        <w:rPr>
          <w:lang w:val="es-MX"/>
        </w:rPr>
      </w:pPr>
    </w:p>
    <w:p w14:paraId="1AE1666B" w14:textId="1AE1338E" w:rsidR="00D57622" w:rsidRDefault="00F8307C" w:rsidP="00315500">
      <w:pPr>
        <w:jc w:val="both"/>
        <w:rPr>
          <w:rFonts w:ascii="Arial" w:hAnsi="Arial" w:cs="Arial"/>
          <w:sz w:val="22"/>
          <w:szCs w:val="22"/>
          <w:lang w:val="es-ES_tradnl"/>
        </w:rPr>
      </w:pPr>
      <w:r w:rsidRPr="00315500">
        <w:rPr>
          <w:rFonts w:ascii="Arial" w:hAnsi="Arial" w:cs="Arial"/>
          <w:sz w:val="22"/>
          <w:szCs w:val="22"/>
          <w:lang w:val="es-ES_tradnl"/>
        </w:rPr>
        <w:t xml:space="preserve">El consorcio </w:t>
      </w:r>
      <w:proofErr w:type="spellStart"/>
      <w:r w:rsidRPr="00315500">
        <w:rPr>
          <w:rFonts w:ascii="Arial" w:hAnsi="Arial" w:cs="Arial"/>
          <w:sz w:val="22"/>
          <w:szCs w:val="22"/>
          <w:lang w:val="es-ES_tradnl"/>
        </w:rPr>
        <w:t>Audiviv</w:t>
      </w:r>
      <w:proofErr w:type="spellEnd"/>
      <w:r w:rsidRPr="00315500">
        <w:rPr>
          <w:rFonts w:ascii="Arial" w:hAnsi="Arial" w:cs="Arial"/>
          <w:sz w:val="22"/>
          <w:szCs w:val="22"/>
          <w:lang w:val="es-ES_tradnl"/>
        </w:rPr>
        <w:t xml:space="preserve"> presentó </w:t>
      </w:r>
      <w:r w:rsidR="00315500" w:rsidRPr="00315500">
        <w:rPr>
          <w:rFonts w:ascii="Arial" w:hAnsi="Arial" w:cs="Arial"/>
          <w:sz w:val="22"/>
          <w:szCs w:val="22"/>
          <w:lang w:val="es-ES_tradnl"/>
        </w:rPr>
        <w:t>el informe final ante la Dirección de Gestión de Bienes Públicos Rurales</w:t>
      </w:r>
      <w:r w:rsidR="00864CFE">
        <w:rPr>
          <w:rFonts w:ascii="Arial" w:hAnsi="Arial" w:cs="Arial"/>
          <w:sz w:val="22"/>
          <w:szCs w:val="22"/>
          <w:lang w:val="es-ES_tradnl"/>
        </w:rPr>
        <w:t xml:space="preserve"> </w:t>
      </w:r>
      <w:r w:rsidR="00984FEE">
        <w:rPr>
          <w:rFonts w:ascii="Arial" w:hAnsi="Arial" w:cs="Arial"/>
          <w:sz w:val="22"/>
          <w:szCs w:val="22"/>
          <w:lang w:val="es-ES_tradnl"/>
        </w:rPr>
        <w:t>del Ministerio de Agricultura y Desarrollo Rural, Ministerio de Vivienda Ciudad y Territorio</w:t>
      </w:r>
      <w:r w:rsidR="002A4466">
        <w:rPr>
          <w:rFonts w:ascii="Arial" w:hAnsi="Arial" w:cs="Arial"/>
          <w:sz w:val="22"/>
          <w:szCs w:val="22"/>
          <w:lang w:val="es-ES_tradnl"/>
        </w:rPr>
        <w:t xml:space="preserve">, Banco Agrario de Colombia S.A. y Departamento Nacional de Planeación, entidades que </w:t>
      </w:r>
      <w:r w:rsidR="00040558">
        <w:rPr>
          <w:rFonts w:ascii="Arial" w:hAnsi="Arial" w:cs="Arial"/>
          <w:sz w:val="22"/>
          <w:szCs w:val="22"/>
          <w:lang w:val="es-ES_tradnl"/>
        </w:rPr>
        <w:t xml:space="preserve">hacen parte integral del programa de vivienda de interés social rural </w:t>
      </w:r>
      <w:r w:rsidR="00D57622">
        <w:rPr>
          <w:rFonts w:ascii="Arial" w:hAnsi="Arial" w:cs="Arial"/>
          <w:sz w:val="22"/>
          <w:szCs w:val="22"/>
          <w:lang w:val="es-ES_tradnl"/>
        </w:rPr>
        <w:t xml:space="preserve">y </w:t>
      </w:r>
      <w:r w:rsidR="002A4466">
        <w:rPr>
          <w:rFonts w:ascii="Arial" w:hAnsi="Arial" w:cs="Arial"/>
          <w:sz w:val="22"/>
          <w:szCs w:val="22"/>
          <w:lang w:val="es-ES_tradnl"/>
        </w:rPr>
        <w:t xml:space="preserve">requieren, según </w:t>
      </w:r>
      <w:r w:rsidR="00D57622">
        <w:rPr>
          <w:rFonts w:ascii="Arial" w:hAnsi="Arial" w:cs="Arial"/>
          <w:sz w:val="22"/>
          <w:szCs w:val="22"/>
          <w:lang w:val="es-ES_tradnl"/>
        </w:rPr>
        <w:t>sus</w:t>
      </w:r>
      <w:r w:rsidR="002A4466">
        <w:rPr>
          <w:rFonts w:ascii="Arial" w:hAnsi="Arial" w:cs="Arial"/>
          <w:sz w:val="22"/>
          <w:szCs w:val="22"/>
          <w:lang w:val="es-ES_tradnl"/>
        </w:rPr>
        <w:t xml:space="preserve"> competencias</w:t>
      </w:r>
      <w:r w:rsidR="00D57622">
        <w:rPr>
          <w:rFonts w:ascii="Arial" w:hAnsi="Arial" w:cs="Arial"/>
          <w:sz w:val="22"/>
          <w:szCs w:val="22"/>
          <w:lang w:val="es-ES_tradnl"/>
        </w:rPr>
        <w:t>,</w:t>
      </w:r>
      <w:r w:rsidR="002A4466">
        <w:rPr>
          <w:rFonts w:ascii="Arial" w:hAnsi="Arial" w:cs="Arial"/>
          <w:sz w:val="22"/>
          <w:szCs w:val="22"/>
          <w:lang w:val="es-ES_tradnl"/>
        </w:rPr>
        <w:t xml:space="preserve"> </w:t>
      </w:r>
      <w:r w:rsidR="00D57622">
        <w:rPr>
          <w:rFonts w:ascii="Arial" w:hAnsi="Arial" w:cs="Arial"/>
          <w:sz w:val="22"/>
          <w:szCs w:val="22"/>
          <w:lang w:val="es-ES_tradnl"/>
        </w:rPr>
        <w:t>conocer de primera mano</w:t>
      </w:r>
      <w:r w:rsidR="00864CFE">
        <w:rPr>
          <w:rFonts w:ascii="Arial" w:hAnsi="Arial" w:cs="Arial"/>
          <w:sz w:val="22"/>
          <w:szCs w:val="22"/>
          <w:lang w:val="es-ES_tradnl"/>
        </w:rPr>
        <w:t xml:space="preserve"> los resultados de</w:t>
      </w:r>
      <w:r w:rsidR="00D57622">
        <w:rPr>
          <w:rFonts w:ascii="Arial" w:hAnsi="Arial" w:cs="Arial"/>
          <w:sz w:val="22"/>
          <w:szCs w:val="22"/>
          <w:lang w:val="es-ES_tradnl"/>
        </w:rPr>
        <w:t xml:space="preserve"> dicha auditoría</w:t>
      </w:r>
      <w:r w:rsidR="00D368E2">
        <w:rPr>
          <w:rFonts w:ascii="Arial" w:hAnsi="Arial" w:cs="Arial"/>
          <w:sz w:val="22"/>
          <w:szCs w:val="22"/>
          <w:lang w:val="es-ES_tradnl"/>
        </w:rPr>
        <w:t>.</w:t>
      </w:r>
    </w:p>
    <w:p w14:paraId="59DB5A69" w14:textId="77777777" w:rsidR="00D57622" w:rsidRDefault="00D57622" w:rsidP="00315500">
      <w:pPr>
        <w:jc w:val="both"/>
        <w:rPr>
          <w:rFonts w:ascii="Arial" w:hAnsi="Arial" w:cs="Arial"/>
          <w:sz w:val="22"/>
          <w:szCs w:val="22"/>
          <w:lang w:val="es-ES_tradnl"/>
        </w:rPr>
      </w:pPr>
    </w:p>
    <w:p w14:paraId="4A400A98" w14:textId="52C01E73" w:rsidR="008B1580" w:rsidRDefault="00D57622" w:rsidP="00315500">
      <w:pPr>
        <w:jc w:val="both"/>
        <w:rPr>
          <w:rFonts w:ascii="Arial" w:hAnsi="Arial" w:cs="Arial"/>
          <w:sz w:val="22"/>
          <w:szCs w:val="22"/>
          <w:lang w:val="es-ES_tradnl"/>
        </w:rPr>
      </w:pPr>
      <w:r>
        <w:rPr>
          <w:rFonts w:ascii="Arial" w:hAnsi="Arial" w:cs="Arial"/>
          <w:sz w:val="22"/>
          <w:szCs w:val="22"/>
          <w:lang w:val="es-ES_tradnl"/>
        </w:rPr>
        <w:t>A continuación</w:t>
      </w:r>
      <w:r w:rsidR="00D368E2">
        <w:rPr>
          <w:rFonts w:ascii="Arial" w:hAnsi="Arial" w:cs="Arial"/>
          <w:sz w:val="22"/>
          <w:szCs w:val="22"/>
          <w:lang w:val="es-ES_tradnl"/>
        </w:rPr>
        <w:t>, se presenta un breve resumen del ejercicio realizado indicando que al</w:t>
      </w:r>
      <w:r w:rsidR="00D368E2" w:rsidRPr="00D368E2">
        <w:rPr>
          <w:rFonts w:ascii="Arial" w:hAnsi="Arial" w:cs="Arial"/>
          <w:sz w:val="22"/>
          <w:szCs w:val="22"/>
          <w:lang w:val="es-ES_tradnl"/>
        </w:rPr>
        <w:t xml:space="preserve"> momento de la contratación de la auditoria se planteaba una base </w:t>
      </w:r>
      <w:r w:rsidR="00D368E2">
        <w:rPr>
          <w:rFonts w:ascii="Arial" w:hAnsi="Arial" w:cs="Arial"/>
          <w:sz w:val="22"/>
          <w:szCs w:val="22"/>
          <w:lang w:val="es-ES_tradnl"/>
        </w:rPr>
        <w:t xml:space="preserve">general </w:t>
      </w:r>
      <w:r w:rsidR="00D368E2" w:rsidRPr="00D368E2">
        <w:rPr>
          <w:rFonts w:ascii="Arial" w:hAnsi="Arial" w:cs="Arial"/>
          <w:sz w:val="22"/>
          <w:szCs w:val="22"/>
          <w:lang w:val="es-ES_tradnl"/>
        </w:rPr>
        <w:t>de 36.506</w:t>
      </w:r>
      <w:r w:rsidR="001A6DF7">
        <w:rPr>
          <w:rStyle w:val="Refdenotaalpie"/>
          <w:rFonts w:ascii="Arial" w:hAnsi="Arial" w:cs="Arial"/>
          <w:sz w:val="22"/>
          <w:szCs w:val="22"/>
          <w:lang w:val="es-ES_tradnl"/>
        </w:rPr>
        <w:footnoteReference w:id="3"/>
      </w:r>
      <w:r w:rsidR="00D368E2" w:rsidRPr="00D368E2">
        <w:rPr>
          <w:rFonts w:ascii="Arial" w:hAnsi="Arial" w:cs="Arial"/>
          <w:sz w:val="22"/>
          <w:szCs w:val="22"/>
          <w:lang w:val="es-ES_tradnl"/>
        </w:rPr>
        <w:t xml:space="preserve"> subsidios por materializar distribuidos en vigencias comprendidas entre el año 2000 </w:t>
      </w:r>
      <w:r w:rsidR="00D368E2">
        <w:rPr>
          <w:rFonts w:ascii="Arial" w:hAnsi="Arial" w:cs="Arial"/>
          <w:sz w:val="22"/>
          <w:szCs w:val="22"/>
          <w:lang w:val="es-ES_tradnl"/>
        </w:rPr>
        <w:t>al</w:t>
      </w:r>
      <w:r w:rsidR="00D368E2" w:rsidRPr="00D368E2">
        <w:rPr>
          <w:rFonts w:ascii="Arial" w:hAnsi="Arial" w:cs="Arial"/>
          <w:sz w:val="22"/>
          <w:szCs w:val="22"/>
          <w:lang w:val="es-ES_tradnl"/>
        </w:rPr>
        <w:t xml:space="preserve"> 2017</w:t>
      </w:r>
      <w:r w:rsidR="00D368E2">
        <w:rPr>
          <w:rFonts w:ascii="Arial" w:hAnsi="Arial" w:cs="Arial"/>
          <w:sz w:val="22"/>
          <w:szCs w:val="22"/>
          <w:lang w:val="es-ES_tradnl"/>
        </w:rPr>
        <w:t xml:space="preserve">; sobre este universo se realizaron </w:t>
      </w:r>
      <w:r w:rsidR="00D368E2" w:rsidRPr="00D368E2">
        <w:rPr>
          <w:rFonts w:ascii="Arial" w:hAnsi="Arial" w:cs="Arial"/>
          <w:sz w:val="22"/>
          <w:szCs w:val="22"/>
          <w:lang w:val="es-ES_tradnl"/>
        </w:rPr>
        <w:t>12.089 visitas de forma aleatoria,</w:t>
      </w:r>
      <w:r w:rsidR="00D368E2">
        <w:rPr>
          <w:rFonts w:ascii="Arial" w:hAnsi="Arial" w:cs="Arial"/>
          <w:sz w:val="22"/>
          <w:szCs w:val="22"/>
          <w:lang w:val="es-ES_tradnl"/>
        </w:rPr>
        <w:t xml:space="preserve"> estimando un valor </w:t>
      </w:r>
      <w:r w:rsidR="00D368E2" w:rsidRPr="00D368E2">
        <w:rPr>
          <w:rFonts w:ascii="Arial" w:hAnsi="Arial" w:cs="Arial"/>
          <w:sz w:val="22"/>
          <w:szCs w:val="22"/>
          <w:lang w:val="es-ES_tradnl"/>
        </w:rPr>
        <w:t xml:space="preserve">del rezago con valores actualizados a </w:t>
      </w:r>
      <w:r w:rsidR="008B1580">
        <w:rPr>
          <w:rFonts w:ascii="Arial" w:hAnsi="Arial" w:cs="Arial"/>
          <w:sz w:val="22"/>
          <w:szCs w:val="22"/>
          <w:lang w:val="es-ES_tradnl"/>
        </w:rPr>
        <w:t xml:space="preserve">la vigencia </w:t>
      </w:r>
      <w:r w:rsidR="00D368E2" w:rsidRPr="00D368E2">
        <w:rPr>
          <w:rFonts w:ascii="Arial" w:hAnsi="Arial" w:cs="Arial"/>
          <w:sz w:val="22"/>
          <w:szCs w:val="22"/>
          <w:lang w:val="es-ES_tradnl"/>
        </w:rPr>
        <w:t>2025 de esas obligaciones.</w:t>
      </w:r>
      <w:r>
        <w:rPr>
          <w:rFonts w:ascii="Arial" w:hAnsi="Arial" w:cs="Arial"/>
          <w:sz w:val="22"/>
          <w:szCs w:val="22"/>
          <w:lang w:val="es-ES_tradnl"/>
        </w:rPr>
        <w:t xml:space="preserve"> </w:t>
      </w:r>
    </w:p>
    <w:p w14:paraId="4D1FCAA2" w14:textId="77777777" w:rsidR="008B1580" w:rsidRDefault="008B1580" w:rsidP="00315500">
      <w:pPr>
        <w:jc w:val="both"/>
        <w:rPr>
          <w:rFonts w:ascii="Arial" w:hAnsi="Arial" w:cs="Arial"/>
          <w:sz w:val="22"/>
          <w:szCs w:val="22"/>
          <w:lang w:val="es-ES_tradnl"/>
        </w:rPr>
      </w:pPr>
    </w:p>
    <w:p w14:paraId="33B7F7A9" w14:textId="77777777" w:rsidR="00467207" w:rsidRPr="00467207" w:rsidRDefault="00467207" w:rsidP="00467207">
      <w:pPr>
        <w:jc w:val="both"/>
        <w:rPr>
          <w:rFonts w:ascii="Arial" w:hAnsi="Arial" w:cs="Arial"/>
          <w:sz w:val="22"/>
          <w:szCs w:val="22"/>
          <w:lang w:val="es-ES_tradnl"/>
        </w:rPr>
      </w:pPr>
      <w:r>
        <w:rPr>
          <w:rFonts w:ascii="Arial" w:hAnsi="Arial" w:cs="Arial"/>
          <w:sz w:val="22"/>
          <w:szCs w:val="22"/>
          <w:lang w:val="es-ES_tradnl"/>
        </w:rPr>
        <w:t xml:space="preserve">Desde el punto de vista técnico, </w:t>
      </w:r>
      <w:r w:rsidRPr="00467207">
        <w:rPr>
          <w:rFonts w:ascii="Arial" w:hAnsi="Arial" w:cs="Arial"/>
          <w:sz w:val="22"/>
          <w:szCs w:val="22"/>
          <w:lang w:val="es-ES_tradnl"/>
        </w:rPr>
        <w:t xml:space="preserve">La auditoría técnica tuvo como alcance la verificación del estado físico y condiciones de habitabilidad de las viviendas, mediante inspección visual apoyándose en el reporte de información inicial entregada por el Banco Agrario a fin de generar estudios generales de las condiciones técnicas estructurales o diseños de intervención. </w:t>
      </w:r>
    </w:p>
    <w:p w14:paraId="33A4DFD8" w14:textId="77777777" w:rsidR="00467207" w:rsidRPr="00467207" w:rsidRDefault="00467207" w:rsidP="00467207">
      <w:pPr>
        <w:jc w:val="both"/>
        <w:rPr>
          <w:rFonts w:ascii="Arial" w:hAnsi="Arial" w:cs="Arial"/>
          <w:sz w:val="22"/>
          <w:szCs w:val="22"/>
          <w:lang w:val="es-ES_tradnl"/>
        </w:rPr>
      </w:pPr>
    </w:p>
    <w:p w14:paraId="572C25F4"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La auditoría se basó en un enfoque integral con los siguientes componentes técnicos: </w:t>
      </w:r>
    </w:p>
    <w:p w14:paraId="53B8DC3A" w14:textId="77777777" w:rsidR="00467207" w:rsidRPr="00467207" w:rsidRDefault="00467207" w:rsidP="00467207">
      <w:pPr>
        <w:jc w:val="both"/>
        <w:rPr>
          <w:rFonts w:ascii="Arial" w:hAnsi="Arial" w:cs="Arial"/>
          <w:sz w:val="22"/>
          <w:szCs w:val="22"/>
          <w:lang w:val="es-ES_tradnl"/>
        </w:rPr>
      </w:pPr>
    </w:p>
    <w:p w14:paraId="75E58E0F"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1. Muestreo Estratificado: Se proyectaron 1,232 visitas para la Fase II (2011-2017) y 10,479 visitas para la Fase III (2000-2010), basadas en los reportes de subsidios pendientes de materialización del Banco Agrario. </w:t>
      </w:r>
    </w:p>
    <w:p w14:paraId="0287D25C" w14:textId="77777777" w:rsidR="00467207" w:rsidRPr="00467207" w:rsidRDefault="00467207" w:rsidP="00467207">
      <w:pPr>
        <w:jc w:val="both"/>
        <w:rPr>
          <w:rFonts w:ascii="Arial" w:hAnsi="Arial" w:cs="Arial"/>
          <w:sz w:val="22"/>
          <w:szCs w:val="22"/>
          <w:lang w:val="es-ES_tradnl"/>
        </w:rPr>
      </w:pPr>
    </w:p>
    <w:p w14:paraId="2F9DBF1B"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lastRenderedPageBreak/>
        <w:t xml:space="preserve">2. Evaluación Técnica:  Se generaron diagnósticos visuales y patológicos de humedad, fisuras, corrosión bajo las normativas NSR-10 y RETIE. </w:t>
      </w:r>
    </w:p>
    <w:p w14:paraId="51B944AE" w14:textId="77777777" w:rsidR="00467207" w:rsidRPr="00467207" w:rsidRDefault="00467207" w:rsidP="00467207">
      <w:pPr>
        <w:jc w:val="both"/>
        <w:rPr>
          <w:rFonts w:ascii="Arial" w:hAnsi="Arial" w:cs="Arial"/>
          <w:sz w:val="22"/>
          <w:szCs w:val="22"/>
          <w:lang w:val="es-ES_tradnl"/>
        </w:rPr>
      </w:pPr>
    </w:p>
    <w:p w14:paraId="4B8C97D5"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3. Protocolo de Campo: Clasificación de predios y consolidación de datos en una matriz de daños. </w:t>
      </w:r>
    </w:p>
    <w:p w14:paraId="6BA9B14D" w14:textId="77777777" w:rsidR="00467207" w:rsidRPr="00467207" w:rsidRDefault="00467207" w:rsidP="00467207">
      <w:pPr>
        <w:jc w:val="both"/>
        <w:rPr>
          <w:rFonts w:ascii="Arial" w:hAnsi="Arial" w:cs="Arial"/>
          <w:sz w:val="22"/>
          <w:szCs w:val="22"/>
          <w:lang w:val="es-ES_tradnl"/>
        </w:rPr>
      </w:pPr>
    </w:p>
    <w:p w14:paraId="6803B887"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4. Entrega de hallazgos técnicos  </w:t>
      </w:r>
    </w:p>
    <w:p w14:paraId="71CB0010" w14:textId="77777777" w:rsidR="00467207" w:rsidRPr="00467207" w:rsidRDefault="00467207" w:rsidP="00467207">
      <w:pPr>
        <w:jc w:val="both"/>
        <w:rPr>
          <w:rFonts w:ascii="Arial" w:hAnsi="Arial" w:cs="Arial"/>
          <w:sz w:val="22"/>
          <w:szCs w:val="22"/>
          <w:lang w:val="es-ES_tradnl"/>
        </w:rPr>
      </w:pPr>
    </w:p>
    <w:p w14:paraId="13CE4AAB"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5. Conclusiones y recomendaciones enmarcadas en 3 escenarios generales, a fin de generar una solución puntual e individualizada para cada uno de los hogares visitados.   </w:t>
      </w:r>
    </w:p>
    <w:p w14:paraId="6C13487A" w14:textId="77777777" w:rsidR="00467207" w:rsidRPr="00467207" w:rsidRDefault="00467207" w:rsidP="00467207">
      <w:pPr>
        <w:jc w:val="both"/>
        <w:rPr>
          <w:rFonts w:ascii="Arial" w:hAnsi="Arial" w:cs="Arial"/>
          <w:sz w:val="22"/>
          <w:szCs w:val="22"/>
          <w:lang w:val="es-ES_tradnl"/>
        </w:rPr>
      </w:pPr>
    </w:p>
    <w:p w14:paraId="3AD05FAA"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Se formuló una proyección de visitas técnicas a nivel nacional, definida mediante criterios de cobertura territorial, vigencias del subsidio y representatividad estadística, considerando la dispersión geográfica de los predios.  </w:t>
      </w:r>
    </w:p>
    <w:p w14:paraId="66F2D399" w14:textId="77777777" w:rsidR="00467207" w:rsidRPr="00467207" w:rsidRDefault="00467207" w:rsidP="00467207">
      <w:pPr>
        <w:jc w:val="both"/>
        <w:rPr>
          <w:rFonts w:ascii="Arial" w:hAnsi="Arial" w:cs="Arial"/>
          <w:sz w:val="22"/>
          <w:szCs w:val="22"/>
          <w:lang w:val="es-ES_tradnl"/>
        </w:rPr>
      </w:pPr>
    </w:p>
    <w:p w14:paraId="0CAC826E"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Como parte de los hallazgos la auditoría técnica evidenció que una proporción significativa de las soluciones habitacionales presenta ejecución parcial, incompleta o inexistente. Se identificaron viviendas con avances físicos mínimos, limitados a cimentaciones o estructuras básicas, así como obras inconclusas que no alcanzaron condiciones de habitabilidad. En múltiples casos, las viviendas no cumplen con los estándares mínimos de funcionalidad, estabilidad y uso seguro, evidenciando abandono prolongado de las obras y falta de cierre técnico. Asimismo, se identificaron predios clasificados como lotes sin construcción, pese a la asignación formal de subsidios, lo que confirma la no materialización de la solución habitacional prevista.  </w:t>
      </w:r>
    </w:p>
    <w:p w14:paraId="51147460" w14:textId="77777777" w:rsidR="00467207" w:rsidRPr="00467207" w:rsidRDefault="00467207" w:rsidP="00467207">
      <w:pPr>
        <w:jc w:val="both"/>
        <w:rPr>
          <w:rFonts w:ascii="Arial" w:hAnsi="Arial" w:cs="Arial"/>
          <w:sz w:val="22"/>
          <w:szCs w:val="22"/>
          <w:lang w:val="es-ES_tradnl"/>
        </w:rPr>
      </w:pPr>
    </w:p>
    <w:p w14:paraId="18C16C7B"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Así como el incumplimiento normativo reiterado de la normativa aplicable, particularmente de los lineamientos de la NSR-10 y de criterios técnicos básicos de diseño y construcción. Se evidenciaron deficiencias en elementos estructurales y no estructurales, tales como fisuración no controlada, recubrimientos insuficientes, deficiente calidad de materiales y ausencia de soluciones constructivas adecuadas frente a condiciones de humedad y cargas.  </w:t>
      </w:r>
    </w:p>
    <w:p w14:paraId="4F6B69D9" w14:textId="77777777" w:rsidR="00467207" w:rsidRPr="00467207" w:rsidRDefault="00467207" w:rsidP="00467207">
      <w:pPr>
        <w:jc w:val="both"/>
        <w:rPr>
          <w:rFonts w:ascii="Arial" w:hAnsi="Arial" w:cs="Arial"/>
          <w:sz w:val="22"/>
          <w:szCs w:val="22"/>
          <w:lang w:val="es-ES_tradnl"/>
        </w:rPr>
      </w:pPr>
    </w:p>
    <w:p w14:paraId="66C88864"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Estas falencias indican que las obras ejecutadas no se ajustaron a los requisitos técnicos exigibles para garantizar seguridad estructural, durabilidad y habitabilidad, configurando un incumplimiento técnico-normativo sistemático y fallas de supervisión y control técnico evidenciado deficiencias estructurales en los procesos de supervisión, seguimiento y control técnico durante la ejecución de las obras. Se constató la ausencia de controles efectivos que permitieran verificar avances físicos reales, calidad constructiva y cumplimiento normativo.  </w:t>
      </w:r>
    </w:p>
    <w:p w14:paraId="36254702" w14:textId="77777777" w:rsidR="00467207" w:rsidRPr="00467207" w:rsidRDefault="00467207" w:rsidP="00467207">
      <w:pPr>
        <w:jc w:val="both"/>
        <w:rPr>
          <w:rFonts w:ascii="Arial" w:hAnsi="Arial" w:cs="Arial"/>
          <w:sz w:val="22"/>
          <w:szCs w:val="22"/>
          <w:lang w:val="es-ES_tradnl"/>
        </w:rPr>
      </w:pPr>
    </w:p>
    <w:p w14:paraId="4F21FA08"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La persistencia de obras inconclusas, viviendas con ejecución mínima y soluciones sin servicios básicos demuestra que no existieron mecanismos oportunos de corrección, suspensión o liquidación técnica de los contratos. Estas fallas de supervisión facilitaron la permanencia de incumplimientos técnicos sin acciones correctivas, afectando la correcta ejecución del programa y la protección del interés público. </w:t>
      </w:r>
    </w:p>
    <w:p w14:paraId="6581EABB" w14:textId="77777777" w:rsidR="00467207" w:rsidRPr="00467207" w:rsidRDefault="00467207" w:rsidP="00467207">
      <w:pPr>
        <w:jc w:val="both"/>
        <w:rPr>
          <w:rFonts w:ascii="Arial" w:hAnsi="Arial" w:cs="Arial"/>
          <w:sz w:val="22"/>
          <w:szCs w:val="22"/>
          <w:lang w:val="es-ES_tradnl"/>
        </w:rPr>
      </w:pPr>
    </w:p>
    <w:p w14:paraId="4417025E"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Finalmente se concluye que existe un fracaso técnico en la materialización de las soluciones habitacionales ya el Programa SFVISR no logró materializar de manera efectiva </w:t>
      </w:r>
      <w:r w:rsidRPr="00467207">
        <w:rPr>
          <w:rFonts w:ascii="Arial" w:hAnsi="Arial" w:cs="Arial"/>
          <w:sz w:val="22"/>
          <w:szCs w:val="22"/>
          <w:lang w:val="es-ES_tradnl"/>
        </w:rPr>
        <w:lastRenderedPageBreak/>
        <w:t xml:space="preserve">un número significativo de soluciones habitacionales. Se evidenció una alta proporción de viviendas con ejecución parcial, inconclusa o inexistente, lo que demuestra fallas graves en la planeación técnica, ejecución de obra y cierre constructivo de los proyectos, así como habitabilidad ineficiente a nivel de ejecución, presentan deficiencias técnicas que impiden cumplir condiciones mínimas de habitabilidad, seguridad y funcionalidad.  </w:t>
      </w:r>
    </w:p>
    <w:p w14:paraId="41C2A258" w14:textId="77777777" w:rsidR="00467207" w:rsidRPr="00467207" w:rsidRDefault="00467207" w:rsidP="00467207">
      <w:pPr>
        <w:jc w:val="both"/>
        <w:rPr>
          <w:rFonts w:ascii="Arial" w:hAnsi="Arial" w:cs="Arial"/>
          <w:sz w:val="22"/>
          <w:szCs w:val="22"/>
          <w:lang w:val="es-ES_tradnl"/>
        </w:rPr>
      </w:pPr>
    </w:p>
    <w:p w14:paraId="62DAEDC5"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La presencia de patologías constructivas, deficiencias en servicios básicos y deterioro prematuro compromete el uso seguro de las soluciones entregadas,  incumplimiento sistemático de la normativo técnica, deficiencias estructurales en la supervisión técnica y limitaciones técnicas para el cierre del programa dado el estado físico de las viviendas y la inexistencia de soluciones en numerosos predios dificultan el cierre técnico del programa, al no contar con obras terminadas, funcionales y conformes a los estándares mínimos exigidos. </w:t>
      </w:r>
    </w:p>
    <w:p w14:paraId="03E09CAD" w14:textId="77777777" w:rsidR="00467207" w:rsidRPr="00467207" w:rsidRDefault="00467207" w:rsidP="00467207">
      <w:pPr>
        <w:jc w:val="both"/>
        <w:rPr>
          <w:rFonts w:ascii="Arial" w:hAnsi="Arial" w:cs="Arial"/>
          <w:sz w:val="22"/>
          <w:szCs w:val="22"/>
          <w:lang w:val="es-ES_tradnl"/>
        </w:rPr>
      </w:pPr>
    </w:p>
    <w:p w14:paraId="5AE740DC"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En resumen, el informe concluye que la entrega real de viviendas presenta rezagos críticos y que la deuda social acumulada durante más de 15 años requiere una intervención estatal inmediata para realizar estudios estructurales, demoliciones controladas en casos de riesgo y la indexación de recursos para poder finalizar dignamente las viviendas pendientes.   </w:t>
      </w:r>
    </w:p>
    <w:p w14:paraId="74B0119C" w14:textId="77777777" w:rsidR="00467207" w:rsidRPr="00467207" w:rsidRDefault="00467207" w:rsidP="00467207">
      <w:pPr>
        <w:jc w:val="both"/>
        <w:rPr>
          <w:rFonts w:ascii="Arial" w:hAnsi="Arial" w:cs="Arial"/>
          <w:sz w:val="22"/>
          <w:szCs w:val="22"/>
          <w:lang w:val="es-ES_tradnl"/>
        </w:rPr>
      </w:pPr>
    </w:p>
    <w:p w14:paraId="21A077C6"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La auditoría cumplió con los requisitos exigidos a nivel técnico y genero la entrega eficiente de la información solicitada, así como la visualización actual de las 11.711 visitas.  </w:t>
      </w:r>
    </w:p>
    <w:p w14:paraId="241FA233" w14:textId="77777777" w:rsidR="00467207" w:rsidRPr="00467207" w:rsidRDefault="00467207" w:rsidP="00467207">
      <w:pPr>
        <w:jc w:val="both"/>
        <w:rPr>
          <w:rFonts w:ascii="Arial" w:hAnsi="Arial" w:cs="Arial"/>
          <w:sz w:val="22"/>
          <w:szCs w:val="22"/>
          <w:lang w:val="es-ES_tradnl"/>
        </w:rPr>
      </w:pPr>
    </w:p>
    <w:p w14:paraId="6C9E4C00" w14:textId="77777777" w:rsidR="00467207" w:rsidRP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 xml:space="preserve">Se concluye que existe un incumplimiento técnico-normativo sistemático debido a que una proporción significativa de las soluciones habitacionales presenta una ejecución parcial, incompleta o inexistente, evidenciando incluso predios que permanecen como lotes sin construcción a pesar de la asignación de subsidios. Las obras ejecutadas no garantizan la seguridad estructural, durabilidad ni habitabilidad, ya que presentan deficiencias graves como fisuraciones no controladas y materiales de baja calidad que vulneran los lineamientos de la normativa NSR-10 y RETIE.  </w:t>
      </w:r>
    </w:p>
    <w:p w14:paraId="0FD6952A" w14:textId="77777777" w:rsidR="00467207" w:rsidRPr="00467207" w:rsidRDefault="00467207" w:rsidP="00467207">
      <w:pPr>
        <w:jc w:val="both"/>
        <w:rPr>
          <w:rFonts w:ascii="Arial" w:hAnsi="Arial" w:cs="Arial"/>
          <w:sz w:val="22"/>
          <w:szCs w:val="22"/>
          <w:lang w:val="es-ES_tradnl"/>
        </w:rPr>
      </w:pPr>
    </w:p>
    <w:p w14:paraId="6DDDAC70" w14:textId="362514CC" w:rsidR="00467207" w:rsidRDefault="00467207" w:rsidP="00467207">
      <w:pPr>
        <w:jc w:val="both"/>
        <w:rPr>
          <w:rFonts w:ascii="Arial" w:hAnsi="Arial" w:cs="Arial"/>
          <w:sz w:val="22"/>
          <w:szCs w:val="22"/>
          <w:lang w:val="es-ES_tradnl"/>
        </w:rPr>
      </w:pPr>
      <w:r w:rsidRPr="00467207">
        <w:rPr>
          <w:rFonts w:ascii="Arial" w:hAnsi="Arial" w:cs="Arial"/>
          <w:sz w:val="22"/>
          <w:szCs w:val="22"/>
          <w:lang w:val="es-ES_tradnl"/>
        </w:rPr>
        <w:t>Esta situación es el resultado de una ausencia de controles efectivos y fallas críticas en los procesos de supervisión y seguimiento, lo que impidió la materialización real de las viviendas y el cumplimiento de los estándares mínimos de funcionalidad y uso seguro para los beneficiarios.</w:t>
      </w:r>
    </w:p>
    <w:p w14:paraId="0B8C35A0" w14:textId="77777777" w:rsidR="00467207" w:rsidRDefault="00467207" w:rsidP="00315500">
      <w:pPr>
        <w:jc w:val="both"/>
        <w:rPr>
          <w:rFonts w:ascii="Arial" w:hAnsi="Arial" w:cs="Arial"/>
          <w:sz w:val="22"/>
          <w:szCs w:val="22"/>
          <w:lang w:val="es-ES_tradnl"/>
        </w:rPr>
      </w:pPr>
    </w:p>
    <w:p w14:paraId="4C303EBB" w14:textId="7A346BE3" w:rsidR="00DB2762" w:rsidRDefault="00D45240" w:rsidP="00315500">
      <w:pPr>
        <w:jc w:val="both"/>
        <w:rPr>
          <w:rFonts w:ascii="Arial" w:hAnsi="Arial" w:cs="Arial"/>
          <w:sz w:val="22"/>
          <w:szCs w:val="22"/>
          <w:lang w:val="es-ES_tradnl"/>
        </w:rPr>
      </w:pPr>
      <w:r>
        <w:rPr>
          <w:rFonts w:ascii="Arial" w:hAnsi="Arial" w:cs="Arial"/>
          <w:sz w:val="22"/>
          <w:szCs w:val="22"/>
          <w:lang w:val="es-ES_tradnl"/>
        </w:rPr>
        <w:t xml:space="preserve">La auditoría </w:t>
      </w:r>
      <w:r w:rsidRPr="00D45240">
        <w:rPr>
          <w:rFonts w:ascii="Arial" w:hAnsi="Arial" w:cs="Arial"/>
          <w:sz w:val="22"/>
          <w:szCs w:val="22"/>
          <w:lang w:val="es-ES_tradnl"/>
        </w:rPr>
        <w:t>presenta la estimación consolidada de los recursos financieros requeridos para el cierre del programa de vivienda</w:t>
      </w:r>
      <w:r w:rsidR="00751AED">
        <w:rPr>
          <w:rFonts w:ascii="Arial" w:hAnsi="Arial" w:cs="Arial"/>
          <w:sz w:val="22"/>
          <w:szCs w:val="22"/>
          <w:lang w:val="es-ES_tradnl"/>
        </w:rPr>
        <w:t>, e</w:t>
      </w:r>
      <w:r w:rsidR="00B30849">
        <w:rPr>
          <w:rFonts w:ascii="Arial" w:hAnsi="Arial" w:cs="Arial"/>
          <w:sz w:val="22"/>
          <w:szCs w:val="22"/>
          <w:lang w:val="es-ES_tradnl"/>
        </w:rPr>
        <w:t>ste ejercicio buscó detallar</w:t>
      </w:r>
      <w:r w:rsidRPr="00D45240">
        <w:rPr>
          <w:rFonts w:ascii="Arial" w:hAnsi="Arial" w:cs="Arial"/>
          <w:sz w:val="22"/>
          <w:szCs w:val="22"/>
          <w:lang w:val="es-ES_tradnl"/>
        </w:rPr>
        <w:t xml:space="preserve"> el valor total necesario para atender los subsidios pendientes de materialización, de acuerdo con los supuestos técnicos y financieros definidos para la planeación del gasto. Esta estimación constituye un insumo para la programación presupuestal en el marco del horizonte de cierre del programa.</w:t>
      </w:r>
      <w:r w:rsidR="00443DBD">
        <w:rPr>
          <w:rFonts w:ascii="Arial" w:hAnsi="Arial" w:cs="Arial"/>
          <w:sz w:val="22"/>
          <w:szCs w:val="22"/>
          <w:lang w:val="es-ES_tradnl"/>
        </w:rPr>
        <w:t xml:space="preserve"> </w:t>
      </w:r>
      <w:r w:rsidR="001A6DF7">
        <w:rPr>
          <w:rFonts w:ascii="Arial" w:hAnsi="Arial" w:cs="Arial"/>
          <w:sz w:val="22"/>
          <w:szCs w:val="22"/>
          <w:lang w:val="es-ES_tradnl"/>
        </w:rPr>
        <w:t>S</w:t>
      </w:r>
      <w:r w:rsidR="00443DBD" w:rsidRPr="00443DBD">
        <w:rPr>
          <w:rFonts w:ascii="Arial" w:hAnsi="Arial" w:cs="Arial"/>
          <w:sz w:val="22"/>
          <w:szCs w:val="22"/>
          <w:lang w:val="es-ES_tradnl"/>
        </w:rPr>
        <w:t xml:space="preserve">e determina que el valor total de recursos requeridos desde el MADR para la materialización de los 36.506 subsidios pendientes, con corte a marzo de 2025, asciende a </w:t>
      </w:r>
      <w:r w:rsidR="00443DBD" w:rsidRPr="00C136E0">
        <w:rPr>
          <w:rFonts w:ascii="Arial" w:hAnsi="Arial" w:cs="Arial"/>
          <w:b/>
          <w:bCs/>
          <w:sz w:val="22"/>
          <w:szCs w:val="22"/>
          <w:lang w:val="es-ES_tradnl"/>
        </w:rPr>
        <w:t>$1.795.228.334.409</w:t>
      </w:r>
      <w:r w:rsidR="00443DBD" w:rsidRPr="00443DBD">
        <w:rPr>
          <w:rFonts w:ascii="Arial" w:hAnsi="Arial" w:cs="Arial"/>
          <w:sz w:val="22"/>
          <w:szCs w:val="22"/>
          <w:lang w:val="es-ES_tradnl"/>
        </w:rPr>
        <w:t xml:space="preserve">, cifra que refleja la magnitud del esfuerzo presupuestal necesario para garantizar el cierre del programa </w:t>
      </w:r>
      <w:r w:rsidR="006A3509">
        <w:rPr>
          <w:rFonts w:ascii="Arial" w:hAnsi="Arial" w:cs="Arial"/>
          <w:sz w:val="22"/>
          <w:szCs w:val="22"/>
          <w:lang w:val="es-ES_tradnl"/>
        </w:rPr>
        <w:t>lo cual tomará varias vigencias para culminar el proyecto</w:t>
      </w:r>
      <w:r w:rsidR="003558C2">
        <w:rPr>
          <w:rFonts w:ascii="Arial" w:hAnsi="Arial" w:cs="Arial"/>
          <w:sz w:val="22"/>
          <w:szCs w:val="22"/>
          <w:lang w:val="es-ES_tradnl"/>
        </w:rPr>
        <w:t>, en principio debe sujetarse a</w:t>
      </w:r>
      <w:r w:rsidR="00F25FC6">
        <w:rPr>
          <w:rFonts w:ascii="Arial" w:hAnsi="Arial" w:cs="Arial"/>
          <w:sz w:val="22"/>
          <w:szCs w:val="22"/>
          <w:lang w:val="es-ES_tradnl"/>
        </w:rPr>
        <w:t>l límite impuesto en el proyecto de inversión al año 2032</w:t>
      </w:r>
      <w:r w:rsidR="006A3509">
        <w:rPr>
          <w:rFonts w:ascii="Arial" w:hAnsi="Arial" w:cs="Arial"/>
          <w:sz w:val="22"/>
          <w:szCs w:val="22"/>
          <w:lang w:val="es-ES_tradnl"/>
        </w:rPr>
        <w:t xml:space="preserve">. </w:t>
      </w:r>
    </w:p>
    <w:p w14:paraId="394E888C" w14:textId="77777777" w:rsidR="00204048" w:rsidRDefault="00204048" w:rsidP="00315500">
      <w:pPr>
        <w:jc w:val="both"/>
        <w:rPr>
          <w:rFonts w:ascii="Arial" w:hAnsi="Arial" w:cs="Arial"/>
          <w:sz w:val="22"/>
          <w:szCs w:val="22"/>
          <w:lang w:val="es-ES_tradnl"/>
        </w:rPr>
      </w:pPr>
    </w:p>
    <w:p w14:paraId="218B525F" w14:textId="4A3A7FA2" w:rsidR="00204048" w:rsidRDefault="00204048" w:rsidP="00204048">
      <w:pPr>
        <w:jc w:val="both"/>
        <w:rPr>
          <w:rFonts w:ascii="Arial" w:hAnsi="Arial" w:cs="Arial"/>
          <w:sz w:val="22"/>
          <w:szCs w:val="22"/>
          <w:lang w:val="es-ES_tradnl"/>
        </w:rPr>
      </w:pPr>
      <w:r>
        <w:rPr>
          <w:rFonts w:ascii="Arial" w:hAnsi="Arial" w:cs="Arial"/>
          <w:sz w:val="22"/>
          <w:szCs w:val="22"/>
          <w:lang w:val="es-ES_tradnl"/>
        </w:rPr>
        <w:t xml:space="preserve">Conforme el análisis que se ha realizado sobre los resultados de la auditoría, se tiene que </w:t>
      </w:r>
      <w:r w:rsidRPr="00204048">
        <w:rPr>
          <w:rFonts w:ascii="Arial" w:hAnsi="Arial" w:cs="Arial"/>
          <w:sz w:val="22"/>
          <w:szCs w:val="22"/>
          <w:lang w:val="es-ES_tradnl"/>
        </w:rPr>
        <w:t xml:space="preserve">el cierre del programa implica la materialización de los subsidios pendientes dentro del </w:t>
      </w:r>
      <w:r w:rsidRPr="00204048">
        <w:rPr>
          <w:rFonts w:ascii="Arial" w:hAnsi="Arial" w:cs="Arial"/>
          <w:sz w:val="22"/>
          <w:szCs w:val="22"/>
          <w:lang w:val="es-ES_tradnl"/>
        </w:rPr>
        <w:lastRenderedPageBreak/>
        <w:t>horizonte de planeación definido, lo cual supone un esfuerzo institucional significativo en dos dimensiones complementarias. En primer lugar, se requiere un esfuerzo presupuestal sostenido que permita garantizar la disponibilidad y programación de los recursos necesarios en el marco de los instrumentos de planeación fiscal de mediano plazo, con el fin de asegurar la financiación progresiva de las soluciones habitacionales pendientes.</w:t>
      </w:r>
    </w:p>
    <w:p w14:paraId="33AD081F" w14:textId="77777777" w:rsidR="00204048" w:rsidRPr="00204048" w:rsidRDefault="00204048" w:rsidP="00204048">
      <w:pPr>
        <w:jc w:val="both"/>
        <w:rPr>
          <w:rFonts w:ascii="Arial" w:hAnsi="Arial" w:cs="Arial"/>
          <w:sz w:val="22"/>
          <w:szCs w:val="22"/>
          <w:lang w:val="es-ES_tradnl"/>
        </w:rPr>
      </w:pPr>
    </w:p>
    <w:p w14:paraId="7F2DDF06" w14:textId="0ABD1AB2" w:rsidR="00612199" w:rsidRDefault="00204048" w:rsidP="00204048">
      <w:pPr>
        <w:jc w:val="both"/>
        <w:rPr>
          <w:rFonts w:ascii="Arial" w:hAnsi="Arial" w:cs="Arial"/>
          <w:sz w:val="22"/>
          <w:szCs w:val="22"/>
          <w:lang w:val="es-ES_tradnl"/>
        </w:rPr>
      </w:pPr>
      <w:r w:rsidRPr="00204048">
        <w:rPr>
          <w:rFonts w:ascii="Arial" w:hAnsi="Arial" w:cs="Arial"/>
          <w:sz w:val="22"/>
          <w:szCs w:val="22"/>
          <w:lang w:val="es-ES_tradnl"/>
        </w:rPr>
        <w:t>En segundo lugar, se hace necesario fortalecer los mecanismos de coordinación, gestión administrativa</w:t>
      </w:r>
      <w:r>
        <w:rPr>
          <w:rFonts w:ascii="Arial" w:hAnsi="Arial" w:cs="Arial"/>
          <w:sz w:val="22"/>
          <w:szCs w:val="22"/>
          <w:lang w:val="es-ES_tradnl"/>
        </w:rPr>
        <w:t xml:space="preserve">, </w:t>
      </w:r>
      <w:r w:rsidRPr="00204048">
        <w:rPr>
          <w:rFonts w:ascii="Arial" w:hAnsi="Arial" w:cs="Arial"/>
          <w:sz w:val="22"/>
          <w:szCs w:val="22"/>
          <w:lang w:val="es-ES_tradnl"/>
        </w:rPr>
        <w:t>capacidad operativa</w:t>
      </w:r>
      <w:r>
        <w:rPr>
          <w:rFonts w:ascii="Arial" w:hAnsi="Arial" w:cs="Arial"/>
          <w:sz w:val="22"/>
          <w:szCs w:val="22"/>
          <w:lang w:val="es-ES_tradnl"/>
        </w:rPr>
        <w:t xml:space="preserve"> de seguimiento y control</w:t>
      </w:r>
      <w:r w:rsidRPr="00204048">
        <w:rPr>
          <w:rFonts w:ascii="Arial" w:hAnsi="Arial" w:cs="Arial"/>
          <w:sz w:val="22"/>
          <w:szCs w:val="22"/>
          <w:lang w:val="es-ES_tradnl"/>
        </w:rPr>
        <w:t xml:space="preserve">, de manera que sea posible materializar de forma efectiva el volumen de soluciones requerido. En este sentido, el plan de cierre proyectado hasta 2032 implica la ejecución aproximada de </w:t>
      </w:r>
      <w:r w:rsidRPr="00790813">
        <w:rPr>
          <w:rFonts w:ascii="Arial" w:hAnsi="Arial" w:cs="Arial"/>
          <w:b/>
          <w:bCs/>
          <w:sz w:val="22"/>
          <w:szCs w:val="22"/>
          <w:lang w:val="es-ES_tradnl"/>
        </w:rPr>
        <w:t>5.771 soluciones de vivienda por año</w:t>
      </w:r>
      <w:r w:rsidR="00790813">
        <w:rPr>
          <w:rFonts w:ascii="Arial" w:hAnsi="Arial" w:cs="Arial"/>
          <w:b/>
          <w:bCs/>
          <w:sz w:val="22"/>
          <w:szCs w:val="22"/>
          <w:lang w:val="es-ES_tradnl"/>
        </w:rPr>
        <w:t xml:space="preserve"> a partir de la vigencia 2027 (pues para el presente año fiscal</w:t>
      </w:r>
      <w:r w:rsidR="00771206">
        <w:rPr>
          <w:rFonts w:ascii="Arial" w:hAnsi="Arial" w:cs="Arial"/>
          <w:b/>
          <w:bCs/>
          <w:sz w:val="22"/>
          <w:szCs w:val="22"/>
          <w:lang w:val="es-ES_tradnl"/>
        </w:rPr>
        <w:t xml:space="preserve"> 2026</w:t>
      </w:r>
      <w:r w:rsidR="00790813">
        <w:rPr>
          <w:rFonts w:ascii="Arial" w:hAnsi="Arial" w:cs="Arial"/>
          <w:b/>
          <w:bCs/>
          <w:sz w:val="22"/>
          <w:szCs w:val="22"/>
          <w:lang w:val="es-ES_tradnl"/>
        </w:rPr>
        <w:t xml:space="preserve">, </w:t>
      </w:r>
      <w:r w:rsidR="00771206">
        <w:rPr>
          <w:rFonts w:ascii="Arial" w:hAnsi="Arial" w:cs="Arial"/>
          <w:b/>
          <w:bCs/>
          <w:sz w:val="22"/>
          <w:szCs w:val="22"/>
          <w:lang w:val="es-ES_tradnl"/>
        </w:rPr>
        <w:t>los recursos destinados al progr</w:t>
      </w:r>
      <w:r w:rsidR="00A17F2E">
        <w:rPr>
          <w:rFonts w:ascii="Arial" w:hAnsi="Arial" w:cs="Arial"/>
          <w:b/>
          <w:bCs/>
          <w:sz w:val="22"/>
          <w:szCs w:val="22"/>
          <w:lang w:val="es-ES_tradnl"/>
        </w:rPr>
        <w:t>ama (vigencias 2000 al 2017)</w:t>
      </w:r>
      <w:r w:rsidR="00771206">
        <w:rPr>
          <w:rFonts w:ascii="Arial" w:hAnsi="Arial" w:cs="Arial"/>
          <w:b/>
          <w:bCs/>
          <w:sz w:val="22"/>
          <w:szCs w:val="22"/>
          <w:lang w:val="es-ES_tradnl"/>
        </w:rPr>
        <w:t xml:space="preserve"> fueron el resultado de la aplicación del artículo 300 del </w:t>
      </w:r>
      <w:r w:rsidR="00771206" w:rsidRPr="00725F2D">
        <w:rPr>
          <w:rFonts w:ascii="Arial" w:hAnsi="Arial" w:cs="Arial"/>
          <w:b/>
          <w:bCs/>
          <w:sz w:val="22"/>
          <w:szCs w:val="22"/>
          <w:lang w:val="es-ES_tradnl"/>
        </w:rPr>
        <w:t>PND</w:t>
      </w:r>
      <w:r w:rsidR="00A17F2E" w:rsidRPr="00725F2D">
        <w:rPr>
          <w:rFonts w:ascii="Arial" w:hAnsi="Arial" w:cs="Arial"/>
          <w:b/>
          <w:bCs/>
          <w:sz w:val="22"/>
          <w:szCs w:val="22"/>
          <w:lang w:val="es-ES_tradnl"/>
        </w:rPr>
        <w:t xml:space="preserve"> </w:t>
      </w:r>
      <w:r w:rsidR="007B275C" w:rsidRPr="00725F2D">
        <w:rPr>
          <w:rFonts w:ascii="Arial" w:hAnsi="Arial" w:cs="Arial"/>
          <w:b/>
          <w:bCs/>
          <w:sz w:val="22"/>
          <w:szCs w:val="22"/>
          <w:lang w:val="es-ES_tradnl"/>
        </w:rPr>
        <w:t>en el margen de la reinversión</w:t>
      </w:r>
      <w:r w:rsidR="00771206" w:rsidRPr="00725F2D">
        <w:rPr>
          <w:rFonts w:ascii="Arial" w:hAnsi="Arial" w:cs="Arial"/>
          <w:b/>
          <w:bCs/>
          <w:sz w:val="22"/>
          <w:szCs w:val="22"/>
          <w:lang w:val="es-ES_tradnl"/>
        </w:rPr>
        <w:t>)</w:t>
      </w:r>
      <w:r w:rsidR="007B275C" w:rsidRPr="00725F2D">
        <w:rPr>
          <w:rFonts w:ascii="Arial" w:hAnsi="Arial" w:cs="Arial"/>
          <w:sz w:val="22"/>
          <w:szCs w:val="22"/>
          <w:lang w:val="es-ES_tradnl"/>
        </w:rPr>
        <w:t xml:space="preserve">. </w:t>
      </w:r>
      <w:proofErr w:type="gramStart"/>
      <w:r w:rsidR="007B275C" w:rsidRPr="00725F2D">
        <w:rPr>
          <w:rFonts w:ascii="Arial" w:hAnsi="Arial" w:cs="Arial"/>
          <w:sz w:val="22"/>
          <w:szCs w:val="22"/>
          <w:lang w:val="es-ES_tradnl"/>
        </w:rPr>
        <w:t>Éstos</w:t>
      </w:r>
      <w:proofErr w:type="gramEnd"/>
      <w:r w:rsidR="007B275C" w:rsidRPr="00725F2D">
        <w:rPr>
          <w:rFonts w:ascii="Arial" w:hAnsi="Arial" w:cs="Arial"/>
          <w:sz w:val="22"/>
          <w:szCs w:val="22"/>
          <w:lang w:val="es-ES_tradnl"/>
        </w:rPr>
        <w:t xml:space="preserve"> resultados esperados demandan</w:t>
      </w:r>
      <w:r w:rsidRPr="00725F2D">
        <w:rPr>
          <w:rFonts w:ascii="Arial" w:hAnsi="Arial" w:cs="Arial"/>
          <w:sz w:val="22"/>
          <w:szCs w:val="22"/>
          <w:lang w:val="es-ES_tradnl"/>
        </w:rPr>
        <w:t xml:space="preserve"> una adecuada articulación entre las entidades responsables, los operadores y los instrumentos de implementación, con el propósito de avanzar de manera ordenada y sostenible en el cumplimiento de los compromisos del programa.</w:t>
      </w:r>
    </w:p>
    <w:p w14:paraId="5AFB3E0C" w14:textId="77777777" w:rsidR="00487AF6" w:rsidRDefault="00487AF6" w:rsidP="00204048">
      <w:pPr>
        <w:jc w:val="both"/>
        <w:rPr>
          <w:rFonts w:ascii="Arial" w:hAnsi="Arial" w:cs="Arial"/>
          <w:sz w:val="22"/>
          <w:szCs w:val="22"/>
          <w:lang w:val="es-ES_tradnl"/>
        </w:rPr>
      </w:pPr>
    </w:p>
    <w:p w14:paraId="4AC3CA4F" w14:textId="77777777" w:rsidR="00487AF6" w:rsidRDefault="00487AF6" w:rsidP="00204048">
      <w:pPr>
        <w:jc w:val="both"/>
        <w:rPr>
          <w:rFonts w:ascii="Arial" w:hAnsi="Arial" w:cs="Arial"/>
          <w:sz w:val="22"/>
          <w:szCs w:val="22"/>
          <w:lang w:val="es-ES_tradnl"/>
        </w:rPr>
      </w:pPr>
    </w:p>
    <w:p w14:paraId="38B22767" w14:textId="77777777" w:rsidR="00487AF6" w:rsidRPr="00487AF6" w:rsidRDefault="00487AF6" w:rsidP="00487AF6">
      <w:pPr>
        <w:jc w:val="both"/>
        <w:rPr>
          <w:rFonts w:ascii="Arial" w:hAnsi="Arial" w:cs="Arial"/>
          <w:color w:val="FF0000"/>
          <w:sz w:val="22"/>
          <w:szCs w:val="22"/>
          <w:lang w:val="es-ES_tradnl"/>
        </w:rPr>
      </w:pPr>
      <w:r w:rsidRPr="00487AF6">
        <w:rPr>
          <w:rFonts w:ascii="Arial" w:hAnsi="Arial" w:cs="Arial"/>
          <w:color w:val="FF0000"/>
          <w:sz w:val="22"/>
          <w:szCs w:val="22"/>
          <w:lang w:val="es-ES_tradnl"/>
        </w:rPr>
        <w:t>La auditoría técnica tuvo como propósito evaluar el estado físico y las condiciones de habitabilidad de las soluciones de vivienda rural pendientes de materialización correspondientes a vigencias comprendidas entre los años 2000 y 2017. Para ello, se desarrolló un proceso de visitas técnicas a nivel nacional mediante un esquema de muestreo estratificado y representativo, apoyado en la información suministrada por el Banco Agrario de Colombia.</w:t>
      </w:r>
    </w:p>
    <w:p w14:paraId="259E6E31" w14:textId="77777777" w:rsidR="00487AF6" w:rsidRPr="00487AF6" w:rsidRDefault="00487AF6" w:rsidP="00487AF6">
      <w:pPr>
        <w:jc w:val="both"/>
        <w:rPr>
          <w:rFonts w:ascii="Arial" w:hAnsi="Arial" w:cs="Arial"/>
          <w:color w:val="FF0000"/>
          <w:sz w:val="22"/>
          <w:szCs w:val="22"/>
          <w:lang w:val="es-ES_tradnl"/>
        </w:rPr>
      </w:pPr>
      <w:r w:rsidRPr="00487AF6">
        <w:rPr>
          <w:rFonts w:ascii="Arial" w:hAnsi="Arial" w:cs="Arial"/>
          <w:color w:val="FF0000"/>
          <w:sz w:val="22"/>
          <w:szCs w:val="22"/>
          <w:lang w:val="es-ES_tradnl"/>
        </w:rPr>
        <w:t>El ejercicio incluyó inspecciones visuales, diagnósticos técnicos y patológicos, clasificación de predios, consolidación de hallazgos y formulación de conclusiones y recomendaciones orientadas a definir posibles alternativas de intervención para los hogares visitados. La auditoría se desarrolló bajo criterios técnicos asociados a las condiciones estructurales, funcionales y de habitabilidad de las viviendas, tomando como referencia la normativa vigente, especialmente la NSR-10 y RETIE.</w:t>
      </w:r>
    </w:p>
    <w:p w14:paraId="49F60420" w14:textId="77777777" w:rsidR="00487AF6" w:rsidRPr="00487AF6" w:rsidRDefault="00487AF6" w:rsidP="00487AF6">
      <w:pPr>
        <w:jc w:val="both"/>
        <w:rPr>
          <w:rFonts w:ascii="Arial" w:hAnsi="Arial" w:cs="Arial"/>
          <w:color w:val="FF0000"/>
          <w:sz w:val="22"/>
          <w:szCs w:val="22"/>
          <w:lang w:val="es-ES_tradnl"/>
        </w:rPr>
      </w:pPr>
      <w:r w:rsidRPr="00487AF6">
        <w:rPr>
          <w:rFonts w:ascii="Arial" w:hAnsi="Arial" w:cs="Arial"/>
          <w:color w:val="FF0000"/>
          <w:sz w:val="22"/>
          <w:szCs w:val="22"/>
          <w:lang w:val="es-ES_tradnl"/>
        </w:rPr>
        <w:t>Como resultado, se evidenció que una proporción significativa de las soluciones habitacionales presenta ejecución parcial, inconclusa o inexistente, identificándose viviendas con avances mínimos, obras abandonadas y predios sin construcción pese a contar con asignación de subsidios. Asimismo, se observaron deficiencias constructivas relevantes, tales como fisuras, problemas de humedad, deterioro prematuro y fallas en materiales y elementos estructurales, lo que compromete las condiciones de seguridad, funcionalidad y habitabilidad de las viviendas.</w:t>
      </w:r>
    </w:p>
    <w:p w14:paraId="7E090D8C" w14:textId="77777777" w:rsidR="00487AF6" w:rsidRPr="00487AF6" w:rsidRDefault="00487AF6" w:rsidP="00487AF6">
      <w:pPr>
        <w:jc w:val="both"/>
        <w:rPr>
          <w:rFonts w:ascii="Arial" w:hAnsi="Arial" w:cs="Arial"/>
          <w:color w:val="FF0000"/>
          <w:sz w:val="22"/>
          <w:szCs w:val="22"/>
          <w:lang w:val="es-ES_tradnl"/>
        </w:rPr>
      </w:pPr>
      <w:r w:rsidRPr="00487AF6">
        <w:rPr>
          <w:rFonts w:ascii="Arial" w:hAnsi="Arial" w:cs="Arial"/>
          <w:color w:val="FF0000"/>
          <w:sz w:val="22"/>
          <w:szCs w:val="22"/>
          <w:lang w:val="es-ES_tradnl"/>
        </w:rPr>
        <w:t>La auditoría también concluyó que existieron debilidades en los procesos de supervisión, seguimiento y control técnico durante la ejecución de los proyectos, evidenciando ausencia de mecanismos efectivos para verificar avances, calidad constructiva y cumplimiento normativo, así como falta de acciones correctivas oportunas frente a los incumplimientos detectados.</w:t>
      </w:r>
    </w:p>
    <w:p w14:paraId="1598ECD7" w14:textId="3C59B077" w:rsidR="00487AF6" w:rsidRPr="00487AF6" w:rsidRDefault="00487AF6" w:rsidP="00487AF6">
      <w:pPr>
        <w:jc w:val="both"/>
        <w:rPr>
          <w:rFonts w:ascii="Arial" w:hAnsi="Arial" w:cs="Arial"/>
          <w:color w:val="FF0000"/>
          <w:sz w:val="22"/>
          <w:szCs w:val="22"/>
          <w:lang w:val="es-ES_tradnl"/>
        </w:rPr>
      </w:pPr>
      <w:r w:rsidRPr="00487AF6">
        <w:rPr>
          <w:rFonts w:ascii="Arial" w:hAnsi="Arial" w:cs="Arial"/>
          <w:color w:val="FF0000"/>
          <w:sz w:val="22"/>
          <w:szCs w:val="22"/>
          <w:lang w:val="es-ES_tradnl"/>
        </w:rPr>
        <w:t xml:space="preserve">En términos generales, el informe concluye que persiste un rezago significativo en la materialización efectiva de las soluciones habitacionales del Programa SFVISR, configurándose un incumplimiento técnico-normativo sistemático y limitaciones para el cierre técnico del programa. En este sentido, se recomienda adelantar acciones institucionales orientadas a evaluar técnicamente las soluciones existentes, definir </w:t>
      </w:r>
      <w:r w:rsidRPr="00487AF6">
        <w:rPr>
          <w:rFonts w:ascii="Arial" w:hAnsi="Arial" w:cs="Arial"/>
          <w:color w:val="FF0000"/>
          <w:sz w:val="22"/>
          <w:szCs w:val="22"/>
          <w:lang w:val="es-ES_tradnl"/>
        </w:rPr>
        <w:lastRenderedPageBreak/>
        <w:t>intervenciones estructurales y establecer mecanismos que permitan garantizar condiciones adecuadas de habitabilidad y cierre efectivo de los proyectos pendientes.</w:t>
      </w:r>
    </w:p>
    <w:p w14:paraId="33B88B75" w14:textId="77777777" w:rsidR="00D45240" w:rsidRPr="00487AF6" w:rsidRDefault="00D45240" w:rsidP="00315500">
      <w:pPr>
        <w:jc w:val="both"/>
        <w:rPr>
          <w:rFonts w:ascii="Arial" w:hAnsi="Arial" w:cs="Arial"/>
          <w:color w:val="FF0000"/>
          <w:sz w:val="22"/>
          <w:szCs w:val="22"/>
        </w:rPr>
      </w:pPr>
    </w:p>
    <w:p w14:paraId="73D91133" w14:textId="6A7A83E8" w:rsidR="00F8307C" w:rsidRPr="00487AF6" w:rsidRDefault="00612199" w:rsidP="00315500">
      <w:pPr>
        <w:jc w:val="both"/>
        <w:rPr>
          <w:rFonts w:ascii="Arial" w:hAnsi="Arial" w:cs="Arial"/>
          <w:color w:val="FF0000"/>
          <w:sz w:val="22"/>
          <w:szCs w:val="22"/>
          <w:lang w:val="es-ES_tradnl"/>
        </w:rPr>
      </w:pPr>
      <w:r w:rsidRPr="00487AF6">
        <w:rPr>
          <w:rFonts w:ascii="Arial" w:hAnsi="Arial" w:cs="Arial"/>
          <w:color w:val="FF0000"/>
          <w:sz w:val="22"/>
          <w:szCs w:val="22"/>
          <w:lang w:val="es-ES_tradnl"/>
        </w:rPr>
        <w:t>Teniendo en cuenta que el informe de auditoría ya se encuentra publicado</w:t>
      </w:r>
    </w:p>
    <w:p w14:paraId="1A0F90FD" w14:textId="77777777" w:rsidR="00F8307C" w:rsidRPr="00725F2D" w:rsidRDefault="00F8307C" w:rsidP="00DE26B3">
      <w:pPr>
        <w:rPr>
          <w:sz w:val="22"/>
          <w:szCs w:val="22"/>
          <w:lang w:val="es-MX"/>
        </w:rPr>
      </w:pPr>
    </w:p>
    <w:p w14:paraId="177AFC74" w14:textId="5D355E64" w:rsidR="00983E02" w:rsidRPr="00725F2D" w:rsidRDefault="00983E02" w:rsidP="005F760B">
      <w:pPr>
        <w:pStyle w:val="Ttulo1"/>
        <w:numPr>
          <w:ilvl w:val="0"/>
          <w:numId w:val="7"/>
        </w:numPr>
        <w:spacing w:before="0"/>
        <w:jc w:val="both"/>
        <w:rPr>
          <w:rFonts w:ascii="Arial" w:hAnsi="Arial" w:cs="Arial"/>
          <w:b/>
          <w:bCs/>
          <w:color w:val="385623" w:themeColor="accent6" w:themeShade="80"/>
          <w:sz w:val="22"/>
          <w:szCs w:val="22"/>
          <w:lang w:val="es-ES_tradnl"/>
        </w:rPr>
      </w:pPr>
      <w:bookmarkStart w:id="26" w:name="_Toc225874786"/>
      <w:r w:rsidRPr="00725F2D">
        <w:rPr>
          <w:rFonts w:ascii="Arial" w:hAnsi="Arial" w:cs="Arial"/>
          <w:b/>
          <w:bCs/>
          <w:color w:val="385623" w:themeColor="accent6" w:themeShade="80"/>
          <w:sz w:val="22"/>
          <w:szCs w:val="22"/>
          <w:lang w:val="es-ES_tradnl"/>
        </w:rPr>
        <w:t>SEGUIMIENTO A VIGENCIA 2018 – 2019 (FIDUAGRARIA)</w:t>
      </w:r>
      <w:bookmarkEnd w:id="26"/>
    </w:p>
    <w:p w14:paraId="465647E1" w14:textId="77777777" w:rsidR="00213B0C" w:rsidRDefault="00213B0C" w:rsidP="00213B0C">
      <w:pPr>
        <w:rPr>
          <w:b/>
          <w:bCs/>
          <w:color w:val="EE0000"/>
          <w:lang w:val="es-ES"/>
        </w:rPr>
      </w:pPr>
    </w:p>
    <w:p w14:paraId="751D430D" w14:textId="7B63FFB9" w:rsidR="00213B0C" w:rsidRPr="00213B0C" w:rsidRDefault="00213B0C" w:rsidP="00213B0C">
      <w:pPr>
        <w:rPr>
          <w:b/>
          <w:bCs/>
          <w:color w:val="EE0000"/>
          <w:lang w:val="es-ES"/>
        </w:rPr>
      </w:pPr>
      <w:r w:rsidRPr="00213B0C">
        <w:rPr>
          <w:b/>
          <w:bCs/>
          <w:color w:val="EE0000"/>
          <w:lang w:val="es-ES"/>
        </w:rPr>
        <w:t>GLADYS</w:t>
      </w:r>
    </w:p>
    <w:p w14:paraId="63731A49" w14:textId="77777777" w:rsidR="00C70440" w:rsidRPr="00725F2D" w:rsidRDefault="00C70440" w:rsidP="00C70440">
      <w:pPr>
        <w:rPr>
          <w:sz w:val="22"/>
          <w:szCs w:val="22"/>
          <w:lang w:val="es-ES_tradnl"/>
        </w:rPr>
      </w:pPr>
    </w:p>
    <w:p w14:paraId="6C266934" w14:textId="6D546C32" w:rsidR="00FE0323" w:rsidRDefault="00926D3E" w:rsidP="002D0A36">
      <w:pPr>
        <w:jc w:val="both"/>
        <w:rPr>
          <w:rFonts w:ascii="Arial" w:eastAsiaTheme="minorEastAsia" w:hAnsi="Arial" w:cs="Arial"/>
          <w:b/>
          <w:bCs/>
          <w:color w:val="4472C4" w:themeColor="accent1"/>
          <w:sz w:val="22"/>
          <w:szCs w:val="22"/>
        </w:rPr>
      </w:pPr>
      <w:r w:rsidRPr="00725F2D">
        <w:rPr>
          <w:rFonts w:ascii="Arial" w:hAnsi="Arial" w:cs="Arial"/>
          <w:sz w:val="22"/>
          <w:szCs w:val="22"/>
          <w:lang w:val="es-ES_tradnl"/>
        </w:rPr>
        <w:t>La Dirección de Gestión de Bienes Públicos Rurales adelant</w:t>
      </w:r>
      <w:r w:rsidR="00B20A6E" w:rsidRPr="00725F2D">
        <w:rPr>
          <w:rFonts w:ascii="Arial" w:hAnsi="Arial" w:cs="Arial"/>
          <w:sz w:val="22"/>
          <w:szCs w:val="22"/>
          <w:lang w:val="es-ES_tradnl"/>
        </w:rPr>
        <w:t>a</w:t>
      </w:r>
      <w:r w:rsidRPr="00725F2D">
        <w:rPr>
          <w:rFonts w:ascii="Arial" w:hAnsi="Arial" w:cs="Arial"/>
          <w:sz w:val="22"/>
          <w:szCs w:val="22"/>
          <w:lang w:val="es-ES_tradnl"/>
        </w:rPr>
        <w:t xml:space="preserve"> el seguimiento de la materialización de los subsidios otorgados </w:t>
      </w:r>
      <w:r w:rsidR="00D73DCD" w:rsidRPr="00725F2D">
        <w:rPr>
          <w:rFonts w:ascii="Arial" w:hAnsi="Arial" w:cs="Arial"/>
          <w:sz w:val="22"/>
          <w:szCs w:val="22"/>
          <w:lang w:val="es-ES_tradnl"/>
        </w:rPr>
        <w:t xml:space="preserve">´por el MADR </w:t>
      </w:r>
      <w:r w:rsidRPr="00725F2D">
        <w:rPr>
          <w:rFonts w:ascii="Arial" w:hAnsi="Arial" w:cs="Arial"/>
          <w:sz w:val="22"/>
          <w:szCs w:val="22"/>
          <w:lang w:val="es-ES_tradnl"/>
        </w:rPr>
        <w:t xml:space="preserve">durante las vigencias 2018 y 2019, cuya operación fue contratada con </w:t>
      </w:r>
      <w:proofErr w:type="spellStart"/>
      <w:r w:rsidRPr="00725F2D">
        <w:rPr>
          <w:rFonts w:ascii="Arial" w:hAnsi="Arial" w:cs="Arial"/>
          <w:sz w:val="22"/>
          <w:szCs w:val="22"/>
          <w:lang w:val="es-ES_tradnl"/>
        </w:rPr>
        <w:t>Fiduagraria</w:t>
      </w:r>
      <w:proofErr w:type="spellEnd"/>
      <w:r w:rsidRPr="00725F2D">
        <w:rPr>
          <w:rFonts w:ascii="Arial" w:hAnsi="Arial" w:cs="Arial"/>
          <w:sz w:val="22"/>
          <w:szCs w:val="22"/>
          <w:lang w:val="es-ES_tradnl"/>
        </w:rPr>
        <w:t xml:space="preserve"> a través de 2 contratos de fiducia</w:t>
      </w:r>
      <w:r w:rsidR="002F0C8A" w:rsidRPr="00725F2D">
        <w:rPr>
          <w:rFonts w:ascii="Arial" w:hAnsi="Arial" w:cs="Arial"/>
          <w:sz w:val="22"/>
          <w:szCs w:val="22"/>
          <w:lang w:val="es-ES_tradnl"/>
        </w:rPr>
        <w:t xml:space="preserve"> </w:t>
      </w:r>
      <w:r w:rsidR="00F561B7" w:rsidRPr="00725F2D">
        <w:rPr>
          <w:rFonts w:ascii="Arial" w:hAnsi="Arial" w:cs="Arial"/>
          <w:sz w:val="22"/>
          <w:szCs w:val="22"/>
          <w:lang w:val="es-ES_tradnl"/>
        </w:rPr>
        <w:t>(</w:t>
      </w:r>
      <w:r w:rsidR="00F561B7" w:rsidRPr="00725F2D">
        <w:rPr>
          <w:rFonts w:ascii="Arial" w:hAnsi="Arial" w:cs="Arial"/>
          <w:sz w:val="22"/>
          <w:szCs w:val="22"/>
          <w:lang w:val="es-MX"/>
        </w:rPr>
        <w:t xml:space="preserve">201804712 de 2018 y No. 20190418 de 2019) </w:t>
      </w:r>
      <w:r w:rsidR="002F0C8A" w:rsidRPr="00725F2D">
        <w:rPr>
          <w:rFonts w:ascii="Arial" w:hAnsi="Arial" w:cs="Arial"/>
          <w:sz w:val="22"/>
          <w:szCs w:val="22"/>
          <w:lang w:val="es-ES_tradnl"/>
        </w:rPr>
        <w:t>sobre los</w:t>
      </w:r>
      <w:r w:rsidR="002F0C8A">
        <w:rPr>
          <w:rFonts w:ascii="Arial" w:hAnsi="Arial" w:cs="Arial"/>
          <w:sz w:val="22"/>
          <w:szCs w:val="22"/>
          <w:lang w:val="es-ES_tradnl"/>
        </w:rPr>
        <w:t xml:space="preserve"> cuales se resolvió terminar la relación contractual</w:t>
      </w:r>
      <w:r w:rsidR="004436ED">
        <w:rPr>
          <w:rFonts w:ascii="Arial" w:hAnsi="Arial" w:cs="Arial"/>
          <w:sz w:val="22"/>
          <w:szCs w:val="22"/>
          <w:lang w:val="es-ES_tradnl"/>
        </w:rPr>
        <w:t xml:space="preserve"> a partir del 1 de diciembre </w:t>
      </w:r>
      <w:r w:rsidR="00347CAE">
        <w:rPr>
          <w:rFonts w:ascii="Arial" w:hAnsi="Arial" w:cs="Arial"/>
          <w:sz w:val="22"/>
          <w:szCs w:val="22"/>
          <w:lang w:val="es-ES_tradnl"/>
        </w:rPr>
        <w:t>de 20</w:t>
      </w:r>
      <w:bookmarkStart w:id="27" w:name="_Hlk69423848"/>
      <w:bookmarkEnd w:id="5"/>
      <w:r w:rsidR="002D0A36">
        <w:rPr>
          <w:rFonts w:ascii="Arial" w:hAnsi="Arial" w:cs="Arial"/>
          <w:sz w:val="22"/>
          <w:szCs w:val="22"/>
          <w:lang w:val="es-ES_tradnl"/>
        </w:rPr>
        <w:t xml:space="preserve">25, lo cual impuso el deber de adoptar la gestión de liquidación de esos contratos en los términos como fue requerido por parte </w:t>
      </w:r>
      <w:r w:rsidR="004B4AA3">
        <w:rPr>
          <w:rFonts w:ascii="Arial" w:hAnsi="Arial" w:cs="Arial"/>
          <w:sz w:val="22"/>
          <w:szCs w:val="22"/>
          <w:lang w:val="es-ES_tradnl"/>
        </w:rPr>
        <w:t xml:space="preserve">de la Dra. </w:t>
      </w:r>
      <w:r w:rsidR="004B4AA3" w:rsidRPr="004B4AA3">
        <w:rPr>
          <w:rFonts w:ascii="Arial" w:hAnsi="Arial" w:cs="Arial"/>
          <w:sz w:val="22"/>
          <w:szCs w:val="22"/>
          <w:lang w:val="es-ES_tradnl"/>
        </w:rPr>
        <w:t>Helga María Rivas Ardila</w:t>
      </w:r>
      <w:r w:rsidR="004B4AA3">
        <w:rPr>
          <w:rFonts w:ascii="Arial" w:hAnsi="Arial" w:cs="Arial"/>
          <w:sz w:val="22"/>
          <w:szCs w:val="22"/>
          <w:lang w:val="es-ES_tradnl"/>
        </w:rPr>
        <w:t xml:space="preserve">, Ministra de Agricultura y Desarrollo Rural AD-HOC para los temas del programa de vivienda de interés social rural.  </w:t>
      </w:r>
    </w:p>
    <w:p w14:paraId="5B3B0F86" w14:textId="77777777" w:rsidR="00BC045D" w:rsidRDefault="00BC045D" w:rsidP="00CC546D">
      <w:pPr>
        <w:ind w:left="-567"/>
        <w:jc w:val="both"/>
        <w:rPr>
          <w:rFonts w:ascii="Arial" w:eastAsiaTheme="minorEastAsia" w:hAnsi="Arial" w:cs="Arial"/>
          <w:b/>
          <w:bCs/>
          <w:color w:val="4472C4" w:themeColor="accent1"/>
          <w:sz w:val="22"/>
          <w:szCs w:val="22"/>
        </w:rPr>
      </w:pPr>
    </w:p>
    <w:p w14:paraId="58B243D0" w14:textId="53C8D909" w:rsidR="00CC546D" w:rsidRPr="00E67120" w:rsidRDefault="00C23ED7" w:rsidP="00CC546D">
      <w:pPr>
        <w:ind w:left="-567"/>
        <w:jc w:val="both"/>
        <w:rPr>
          <w:rFonts w:ascii="Arial" w:eastAsiaTheme="minorEastAsia" w:hAnsi="Arial" w:cs="Arial"/>
          <w:b/>
          <w:bCs/>
          <w:color w:val="385623" w:themeColor="accent6" w:themeShade="80"/>
          <w:sz w:val="22"/>
          <w:szCs w:val="22"/>
        </w:rPr>
      </w:pPr>
      <w:r w:rsidRPr="00E67120">
        <w:rPr>
          <w:rFonts w:ascii="Arial" w:eastAsiaTheme="minorEastAsia" w:hAnsi="Arial" w:cs="Arial"/>
          <w:b/>
          <w:bCs/>
          <w:color w:val="385623" w:themeColor="accent6" w:themeShade="80"/>
          <w:sz w:val="22"/>
          <w:szCs w:val="22"/>
        </w:rPr>
        <w:t>Vigencia 2018 – Contrato 20180472</w:t>
      </w:r>
    </w:p>
    <w:p w14:paraId="3F9EC915" w14:textId="77777777" w:rsidR="00CC546D" w:rsidRDefault="00CC546D" w:rsidP="00CC546D">
      <w:pPr>
        <w:ind w:left="-567"/>
        <w:jc w:val="both"/>
        <w:rPr>
          <w:rFonts w:ascii="Arial" w:eastAsiaTheme="minorEastAsia" w:hAnsi="Arial" w:cs="Arial"/>
          <w:b/>
          <w:bCs/>
          <w:color w:val="4472C4" w:themeColor="accent1"/>
          <w:sz w:val="22"/>
          <w:szCs w:val="22"/>
        </w:rPr>
      </w:pPr>
    </w:p>
    <w:p w14:paraId="06E7F40A" w14:textId="30269F30" w:rsidR="00C23ED7" w:rsidRPr="00BC045D" w:rsidRDefault="00CC546D" w:rsidP="00BC045D">
      <w:pPr>
        <w:jc w:val="both"/>
        <w:rPr>
          <w:rFonts w:ascii="Arial" w:hAnsi="Arial" w:cs="Arial"/>
          <w:sz w:val="22"/>
          <w:szCs w:val="22"/>
          <w:lang w:val="es-ES_tradnl"/>
        </w:rPr>
      </w:pPr>
      <w:r w:rsidRPr="00BC045D">
        <w:rPr>
          <w:rFonts w:ascii="Arial" w:hAnsi="Arial" w:cs="Arial"/>
          <w:b/>
          <w:bCs/>
          <w:sz w:val="22"/>
          <w:szCs w:val="22"/>
          <w:lang w:val="es-ES_tradnl"/>
        </w:rPr>
        <w:t xml:space="preserve">Objeto del contrato. </w:t>
      </w:r>
      <w:r w:rsidRPr="00BC045D">
        <w:rPr>
          <w:rFonts w:ascii="Arial" w:hAnsi="Arial" w:cs="Arial"/>
          <w:sz w:val="22"/>
          <w:szCs w:val="22"/>
          <w:lang w:val="es-ES_tradnl"/>
        </w:rPr>
        <w:t xml:space="preserve">FIDUAGRARIA S.A., se obliga con EL MINISTERIO, a constituir un patrimonio autónomo de administración y pagos, del proyecto de vivienda de interés social rural para que actúe como su operador de conformidad con las facultades establecidas en el Decreto 1071 de 2015 y/o la normatividad legal vigente. </w:t>
      </w:r>
    </w:p>
    <w:p w14:paraId="2A639420" w14:textId="77777777" w:rsidR="004A05F3" w:rsidRPr="00BC045D" w:rsidRDefault="004A05F3" w:rsidP="00BC045D">
      <w:pPr>
        <w:jc w:val="both"/>
        <w:rPr>
          <w:rFonts w:ascii="Arial" w:hAnsi="Arial" w:cs="Arial"/>
          <w:sz w:val="22"/>
          <w:szCs w:val="22"/>
          <w:lang w:val="es-ES_tradnl"/>
        </w:rPr>
      </w:pPr>
    </w:p>
    <w:p w14:paraId="749080AD" w14:textId="77777777" w:rsidR="00961265" w:rsidRPr="00BC045D" w:rsidRDefault="004A05F3" w:rsidP="00BC045D">
      <w:pPr>
        <w:jc w:val="both"/>
        <w:rPr>
          <w:rFonts w:ascii="Arial" w:hAnsi="Arial" w:cs="Arial"/>
          <w:sz w:val="22"/>
          <w:szCs w:val="22"/>
          <w:lang w:val="es-ES_tradnl"/>
        </w:rPr>
      </w:pPr>
      <w:r w:rsidRPr="00BC045D">
        <w:rPr>
          <w:rFonts w:ascii="Arial" w:hAnsi="Arial" w:cs="Arial"/>
          <w:sz w:val="22"/>
          <w:szCs w:val="22"/>
          <w:lang w:val="es-ES_tradnl"/>
        </w:rPr>
        <w:t>Valor Inicial $ 183.921.392.660</w:t>
      </w:r>
    </w:p>
    <w:p w14:paraId="0531D75D" w14:textId="77777777" w:rsidR="00333EA4" w:rsidRPr="00333EA4" w:rsidRDefault="00333EA4" w:rsidP="00333EA4">
      <w:pPr>
        <w:jc w:val="both"/>
        <w:rPr>
          <w:rFonts w:ascii="Arial" w:hAnsi="Arial" w:cs="Arial"/>
          <w:sz w:val="22"/>
          <w:szCs w:val="22"/>
          <w:lang w:val="es-MX"/>
        </w:rPr>
      </w:pPr>
      <w:r w:rsidRPr="00333EA4">
        <w:rPr>
          <w:rFonts w:ascii="Arial" w:hAnsi="Arial" w:cs="Arial"/>
          <w:b/>
          <w:bCs/>
          <w:sz w:val="22"/>
          <w:szCs w:val="22"/>
          <w:lang w:val="es-MX"/>
        </w:rPr>
        <w:t xml:space="preserve">Fecha de inicio: </w:t>
      </w:r>
    </w:p>
    <w:p w14:paraId="641FB68B" w14:textId="77777777" w:rsidR="00333EA4" w:rsidRPr="00333EA4" w:rsidRDefault="00333EA4" w:rsidP="00333EA4">
      <w:pPr>
        <w:jc w:val="both"/>
        <w:rPr>
          <w:rFonts w:ascii="Arial" w:hAnsi="Arial" w:cs="Arial"/>
          <w:sz w:val="22"/>
          <w:szCs w:val="22"/>
          <w:lang w:val="es-MX"/>
        </w:rPr>
      </w:pPr>
      <w:r w:rsidRPr="00333EA4">
        <w:rPr>
          <w:rFonts w:ascii="Arial" w:hAnsi="Arial" w:cs="Arial"/>
          <w:sz w:val="22"/>
          <w:szCs w:val="22"/>
          <w:lang w:val="es-MX"/>
        </w:rPr>
        <w:t xml:space="preserve">26 de enero 2018 </w:t>
      </w:r>
    </w:p>
    <w:p w14:paraId="2FAACF55" w14:textId="77777777" w:rsidR="00333EA4" w:rsidRPr="00333EA4" w:rsidRDefault="00333EA4" w:rsidP="00333EA4">
      <w:pPr>
        <w:jc w:val="both"/>
        <w:rPr>
          <w:rFonts w:ascii="Arial" w:hAnsi="Arial" w:cs="Arial"/>
          <w:sz w:val="22"/>
          <w:szCs w:val="22"/>
          <w:lang w:val="es-MX"/>
        </w:rPr>
      </w:pPr>
      <w:r w:rsidRPr="00333EA4">
        <w:rPr>
          <w:rFonts w:ascii="Arial" w:hAnsi="Arial" w:cs="Arial"/>
          <w:b/>
          <w:bCs/>
          <w:sz w:val="22"/>
          <w:szCs w:val="22"/>
          <w:lang w:val="es-MX"/>
        </w:rPr>
        <w:t xml:space="preserve">Fecha de terminación: </w:t>
      </w:r>
    </w:p>
    <w:p w14:paraId="46E0CBBE" w14:textId="77777777" w:rsidR="00333EA4" w:rsidRPr="00333EA4" w:rsidRDefault="00333EA4" w:rsidP="00333EA4">
      <w:pPr>
        <w:jc w:val="both"/>
        <w:rPr>
          <w:rFonts w:ascii="Arial" w:hAnsi="Arial" w:cs="Arial"/>
          <w:sz w:val="22"/>
          <w:szCs w:val="22"/>
          <w:lang w:val="es-MX"/>
        </w:rPr>
      </w:pPr>
      <w:r w:rsidRPr="00333EA4">
        <w:rPr>
          <w:rFonts w:ascii="Arial" w:hAnsi="Arial" w:cs="Arial"/>
          <w:sz w:val="22"/>
          <w:szCs w:val="22"/>
          <w:lang w:val="es-MX"/>
        </w:rPr>
        <w:t xml:space="preserve">1 de diciembre de 2025 </w:t>
      </w:r>
    </w:p>
    <w:p w14:paraId="375C4A1D" w14:textId="77777777" w:rsidR="00333EA4" w:rsidRDefault="00333EA4" w:rsidP="00333EA4">
      <w:pPr>
        <w:jc w:val="both"/>
        <w:rPr>
          <w:rFonts w:ascii="Arial" w:hAnsi="Arial" w:cs="Arial"/>
          <w:b/>
          <w:bCs/>
          <w:sz w:val="22"/>
          <w:szCs w:val="22"/>
          <w:lang w:val="es-MX"/>
        </w:rPr>
      </w:pPr>
    </w:p>
    <w:p w14:paraId="1734D4E8" w14:textId="143FCAB3" w:rsidR="00961265" w:rsidRPr="00BC045D" w:rsidRDefault="00333EA4" w:rsidP="00BC045D">
      <w:pPr>
        <w:jc w:val="both"/>
        <w:rPr>
          <w:rFonts w:ascii="Arial" w:hAnsi="Arial" w:cs="Arial"/>
          <w:sz w:val="22"/>
          <w:szCs w:val="22"/>
          <w:lang w:val="es-ES_tradnl"/>
        </w:rPr>
      </w:pPr>
      <w:r w:rsidRPr="00333EA4">
        <w:rPr>
          <w:rFonts w:ascii="Arial" w:hAnsi="Arial" w:cs="Arial"/>
          <w:b/>
          <w:bCs/>
          <w:sz w:val="22"/>
          <w:szCs w:val="22"/>
          <w:lang w:val="es-MX"/>
        </w:rPr>
        <w:t xml:space="preserve">Supervisor y/o Interventor: </w:t>
      </w:r>
      <w:r w:rsidRPr="00333EA4">
        <w:rPr>
          <w:rFonts w:ascii="Arial" w:hAnsi="Arial" w:cs="Arial"/>
          <w:sz w:val="22"/>
          <w:szCs w:val="22"/>
          <w:lang w:val="es-MX"/>
        </w:rPr>
        <w:t>Cesar Orlando Clavijo Silva Supervisor Contrato Fiduciario 20180472 / componente técnico, Coordinador Grupo Hábitat / DGBPR-MADR Supervisor Contrato Fiduciario 20180472 / componente técnico, Coordinador Grupo Hábitat / Dirección de Gestión de Bienes Públicos Rurales Ministerio de Agricultura y Desarrollo Rural.</w:t>
      </w:r>
      <w:r w:rsidR="00426648">
        <w:rPr>
          <w:rFonts w:ascii="Arial" w:hAnsi="Arial" w:cs="Arial"/>
          <w:sz w:val="22"/>
          <w:szCs w:val="22"/>
          <w:lang w:val="es-ES_tradnl"/>
        </w:rPr>
        <w:t xml:space="preserve"> </w:t>
      </w:r>
      <w:r w:rsidR="00961265" w:rsidRPr="00BC045D">
        <w:rPr>
          <w:rFonts w:ascii="Arial" w:hAnsi="Arial" w:cs="Arial"/>
          <w:sz w:val="22"/>
          <w:szCs w:val="22"/>
          <w:lang w:val="es-ES_tradnl"/>
        </w:rPr>
        <w:t>Mediante la prórroga No. 8 y modificación No. 6 del Contrato No. 20180472, se adicionó un parágrafo a la cláusula séptima, estableciendo lo siguiente:</w:t>
      </w:r>
    </w:p>
    <w:p w14:paraId="4FB2DE0A" w14:textId="77777777" w:rsidR="00961265" w:rsidRPr="00E67120" w:rsidRDefault="00961265" w:rsidP="00961265">
      <w:pPr>
        <w:spacing w:before="100" w:beforeAutospacing="1" w:after="100" w:afterAutospacing="1"/>
        <w:jc w:val="both"/>
        <w:rPr>
          <w:rFonts w:ascii="Arial" w:hAnsi="Arial" w:cs="Arial"/>
          <w:i/>
          <w:iCs/>
          <w:sz w:val="22"/>
          <w:szCs w:val="22"/>
        </w:rPr>
      </w:pPr>
      <w:r w:rsidRPr="00E67120">
        <w:rPr>
          <w:rFonts w:ascii="Arial" w:hAnsi="Arial" w:cs="Arial"/>
          <w:i/>
          <w:iCs/>
          <w:sz w:val="22"/>
          <w:szCs w:val="22"/>
        </w:rPr>
        <w:t>“(…) PARÁGRAFO PRIMERO: De acuerdo con lo decidido por el Comité Fiduciario, se ajusta el alcance del contrato para 2.368 subsidios, que, adicionados a los ya terminados corresponden a un total de 3.260 subsidios de la vigencia 2018. En caso de haberse reconocido valores superiores, estos se ajustarán conforme al balance final al momento de la liquidación contractual.”</w:t>
      </w:r>
    </w:p>
    <w:p w14:paraId="1FF28054" w14:textId="6730A18F" w:rsidR="00961265" w:rsidRPr="00E67120" w:rsidRDefault="00961265" w:rsidP="00BC045D">
      <w:pPr>
        <w:jc w:val="both"/>
        <w:rPr>
          <w:rFonts w:ascii="Arial" w:hAnsi="Arial" w:cs="Arial"/>
          <w:sz w:val="22"/>
          <w:szCs w:val="22"/>
        </w:rPr>
      </w:pPr>
      <w:r w:rsidRPr="00E67120">
        <w:rPr>
          <w:rFonts w:ascii="Arial" w:hAnsi="Arial" w:cs="Arial"/>
          <w:sz w:val="22"/>
          <w:szCs w:val="22"/>
        </w:rPr>
        <w:t>Luego de esta modificación contractual, el total de beneficiarios según su modalidad de intervención se distribuye de la siguiente manera:</w:t>
      </w:r>
    </w:p>
    <w:p w14:paraId="26D2C879" w14:textId="77777777" w:rsidR="00015850" w:rsidRPr="00E67120" w:rsidRDefault="00015850" w:rsidP="00BC045D">
      <w:pPr>
        <w:jc w:val="both"/>
        <w:rPr>
          <w:rFonts w:ascii="Arial" w:hAnsi="Arial" w:cs="Arial"/>
          <w:sz w:val="22"/>
          <w:szCs w:val="22"/>
        </w:rPr>
      </w:pPr>
    </w:p>
    <w:p w14:paraId="5927BD28" w14:textId="77777777" w:rsidR="00715DEF" w:rsidRPr="00E67120" w:rsidRDefault="006B11F5" w:rsidP="006B11F5">
      <w:pPr>
        <w:jc w:val="both"/>
        <w:rPr>
          <w:rFonts w:ascii="Arial" w:hAnsi="Arial" w:cs="Arial"/>
          <w:sz w:val="22"/>
          <w:szCs w:val="22"/>
        </w:rPr>
      </w:pPr>
      <w:r w:rsidRPr="00E67120">
        <w:rPr>
          <w:rFonts w:ascii="Arial" w:hAnsi="Arial" w:cs="Arial"/>
          <w:sz w:val="22"/>
          <w:szCs w:val="22"/>
        </w:rPr>
        <w:lastRenderedPageBreak/>
        <w:t xml:space="preserve">Se identificó entonces el siguiente estado de contrato para determinar un corte de cuentas nos remitiremos a la última prórroga para analizar la materialización de los subsidios; de acuerdo con el informe de avance parcial presentado por </w:t>
      </w:r>
      <w:proofErr w:type="spellStart"/>
      <w:r w:rsidRPr="00E67120">
        <w:rPr>
          <w:rFonts w:ascii="Arial" w:hAnsi="Arial" w:cs="Arial"/>
          <w:sz w:val="22"/>
          <w:szCs w:val="22"/>
        </w:rPr>
        <w:t>Fiduagraria</w:t>
      </w:r>
      <w:proofErr w:type="spellEnd"/>
      <w:r w:rsidRPr="00E67120">
        <w:rPr>
          <w:rFonts w:ascii="Arial" w:hAnsi="Arial" w:cs="Arial"/>
          <w:sz w:val="22"/>
          <w:szCs w:val="22"/>
        </w:rPr>
        <w:t xml:space="preserve"> S.A. con corte a octubre de 2025, de manera resumida, el siguiente es el listado de viviendas terminadas, tanto en modalidad vivienda nueva como mejoramiento de vivienda:</w:t>
      </w:r>
    </w:p>
    <w:p w14:paraId="7623BB23" w14:textId="77777777" w:rsidR="002A03ED" w:rsidRDefault="002A03ED" w:rsidP="006B11F5">
      <w:pPr>
        <w:jc w:val="both"/>
        <w:rPr>
          <w:rFonts w:ascii="Arial" w:hAnsi="Arial" w:cs="Arial"/>
        </w:rPr>
      </w:pPr>
    </w:p>
    <w:p w14:paraId="089A0CFE" w14:textId="77777777" w:rsidR="002A03ED" w:rsidRDefault="002A03ED" w:rsidP="006B11F5">
      <w:pPr>
        <w:jc w:val="both"/>
        <w:rPr>
          <w:rFonts w:ascii="Arial" w:hAnsi="Arial" w:cs="Arial"/>
        </w:rPr>
      </w:pPr>
    </w:p>
    <w:tbl>
      <w:tblPr>
        <w:tblStyle w:val="Tablaconcuadrcula"/>
        <w:tblW w:w="0" w:type="auto"/>
        <w:tblLook w:val="04A0" w:firstRow="1" w:lastRow="0" w:firstColumn="1" w:lastColumn="0" w:noHBand="0" w:noVBand="1"/>
      </w:tblPr>
      <w:tblGrid>
        <w:gridCol w:w="4414"/>
        <w:gridCol w:w="4414"/>
      </w:tblGrid>
      <w:tr w:rsidR="00D32181" w14:paraId="336E947A" w14:textId="77777777" w:rsidTr="00D32181">
        <w:tc>
          <w:tcPr>
            <w:tcW w:w="4414" w:type="dxa"/>
          </w:tcPr>
          <w:p w14:paraId="2D56B69A" w14:textId="39501BB1" w:rsidR="00D32181" w:rsidRDefault="00D32181" w:rsidP="00D32181">
            <w:pPr>
              <w:jc w:val="center"/>
              <w:rPr>
                <w:rFonts w:ascii="Arial" w:hAnsi="Arial" w:cs="Arial"/>
              </w:rPr>
            </w:pPr>
            <w:r>
              <w:rPr>
                <w:rFonts w:ascii="Arial" w:hAnsi="Arial" w:cs="Arial"/>
              </w:rPr>
              <w:t>Alcance Vigencia 2018</w:t>
            </w:r>
          </w:p>
        </w:tc>
        <w:tc>
          <w:tcPr>
            <w:tcW w:w="4414" w:type="dxa"/>
          </w:tcPr>
          <w:p w14:paraId="72A80902" w14:textId="0E1282E8" w:rsidR="00D32181" w:rsidRDefault="00D32181" w:rsidP="00D32181">
            <w:pPr>
              <w:jc w:val="center"/>
              <w:rPr>
                <w:rFonts w:ascii="Arial" w:hAnsi="Arial" w:cs="Arial"/>
              </w:rPr>
            </w:pPr>
            <w:r>
              <w:rPr>
                <w:rFonts w:ascii="Arial" w:hAnsi="Arial" w:cs="Arial"/>
              </w:rPr>
              <w:t>3260 SFVISR</w:t>
            </w:r>
          </w:p>
        </w:tc>
      </w:tr>
      <w:tr w:rsidR="00D32181" w14:paraId="06EB1609" w14:textId="77777777" w:rsidTr="00D32181">
        <w:tc>
          <w:tcPr>
            <w:tcW w:w="4414" w:type="dxa"/>
          </w:tcPr>
          <w:p w14:paraId="3442E4D0" w14:textId="329C77DC" w:rsidR="00D32181" w:rsidRDefault="00D32181" w:rsidP="00254BD4">
            <w:pPr>
              <w:jc w:val="center"/>
              <w:rPr>
                <w:rFonts w:ascii="Arial" w:hAnsi="Arial" w:cs="Arial"/>
              </w:rPr>
            </w:pPr>
            <w:r>
              <w:rPr>
                <w:rFonts w:ascii="Arial" w:hAnsi="Arial" w:cs="Arial"/>
              </w:rPr>
              <w:t>Terminados</w:t>
            </w:r>
          </w:p>
        </w:tc>
        <w:tc>
          <w:tcPr>
            <w:tcW w:w="4414" w:type="dxa"/>
          </w:tcPr>
          <w:p w14:paraId="0550C6E6" w14:textId="7E5F0344" w:rsidR="00D32181" w:rsidRDefault="008E55D3" w:rsidP="00254BD4">
            <w:pPr>
              <w:jc w:val="center"/>
              <w:rPr>
                <w:rFonts w:ascii="Arial" w:hAnsi="Arial" w:cs="Arial"/>
              </w:rPr>
            </w:pPr>
            <w:r>
              <w:rPr>
                <w:rFonts w:ascii="Arial" w:hAnsi="Arial" w:cs="Arial"/>
              </w:rPr>
              <w:t>1209 SFVISR</w:t>
            </w:r>
          </w:p>
        </w:tc>
      </w:tr>
      <w:tr w:rsidR="00D32181" w14:paraId="21FE70A6" w14:textId="77777777" w:rsidTr="00D32181">
        <w:tc>
          <w:tcPr>
            <w:tcW w:w="4414" w:type="dxa"/>
          </w:tcPr>
          <w:p w14:paraId="03B91EC1" w14:textId="7A88AF03" w:rsidR="00D32181" w:rsidRDefault="008E55D3" w:rsidP="008E55D3">
            <w:pPr>
              <w:jc w:val="center"/>
              <w:rPr>
                <w:rFonts w:ascii="Arial" w:hAnsi="Arial" w:cs="Arial"/>
              </w:rPr>
            </w:pPr>
            <w:r>
              <w:rPr>
                <w:rFonts w:ascii="Arial" w:hAnsi="Arial" w:cs="Arial"/>
              </w:rPr>
              <w:t>Pendiente Materializar</w:t>
            </w:r>
          </w:p>
        </w:tc>
        <w:tc>
          <w:tcPr>
            <w:tcW w:w="4414" w:type="dxa"/>
          </w:tcPr>
          <w:p w14:paraId="6FDD9087" w14:textId="03F4CE5D" w:rsidR="00D32181" w:rsidRDefault="008E55D3" w:rsidP="008E55D3">
            <w:pPr>
              <w:jc w:val="center"/>
              <w:rPr>
                <w:rFonts w:ascii="Arial" w:hAnsi="Arial" w:cs="Arial"/>
              </w:rPr>
            </w:pPr>
            <w:r>
              <w:rPr>
                <w:rFonts w:ascii="Arial" w:hAnsi="Arial" w:cs="Arial"/>
              </w:rPr>
              <w:t>2051 SFVISR</w:t>
            </w:r>
          </w:p>
        </w:tc>
      </w:tr>
    </w:tbl>
    <w:p w14:paraId="5470669D" w14:textId="567A6ACC" w:rsidR="00C678FF" w:rsidRDefault="00C678FF" w:rsidP="006B11F5">
      <w:pPr>
        <w:jc w:val="both"/>
        <w:rPr>
          <w:rFonts w:ascii="Arial" w:hAnsi="Arial" w:cs="Arial"/>
        </w:rPr>
      </w:pPr>
    </w:p>
    <w:p w14:paraId="7713CA3A" w14:textId="77777777" w:rsidR="006B11F5" w:rsidRDefault="006B11F5" w:rsidP="006B11F5">
      <w:pPr>
        <w:jc w:val="both"/>
        <w:rPr>
          <w:rFonts w:ascii="Arial" w:hAnsi="Arial" w:cs="Arial"/>
        </w:rPr>
      </w:pPr>
    </w:p>
    <w:p w14:paraId="131DA1A9" w14:textId="7F618380" w:rsidR="009203E5" w:rsidRPr="00E67120" w:rsidRDefault="002A03ED" w:rsidP="006B11F5">
      <w:pPr>
        <w:jc w:val="both"/>
        <w:rPr>
          <w:rFonts w:ascii="Arial" w:hAnsi="Arial" w:cs="Arial"/>
          <w:sz w:val="22"/>
          <w:szCs w:val="22"/>
        </w:rPr>
      </w:pPr>
      <w:r w:rsidRPr="00E67120">
        <w:rPr>
          <w:rFonts w:ascii="Arial" w:hAnsi="Arial" w:cs="Arial"/>
          <w:sz w:val="22"/>
          <w:szCs w:val="22"/>
        </w:rPr>
        <w:t>A continuación</w:t>
      </w:r>
      <w:r w:rsidR="00015850" w:rsidRPr="00E67120">
        <w:rPr>
          <w:rFonts w:ascii="Arial" w:hAnsi="Arial" w:cs="Arial"/>
          <w:sz w:val="22"/>
          <w:szCs w:val="22"/>
        </w:rPr>
        <w:t>,</w:t>
      </w:r>
      <w:r w:rsidRPr="00E67120">
        <w:rPr>
          <w:rFonts w:ascii="Arial" w:hAnsi="Arial" w:cs="Arial"/>
          <w:sz w:val="22"/>
          <w:szCs w:val="22"/>
        </w:rPr>
        <w:t xml:space="preserve"> se desagrega el estado de los subsidios que aún se encuentran pendientes de materialización:</w:t>
      </w:r>
    </w:p>
    <w:p w14:paraId="7CDEB18B" w14:textId="77777777" w:rsidR="002A03ED" w:rsidRPr="00E67120" w:rsidRDefault="002A03ED" w:rsidP="006B11F5">
      <w:pPr>
        <w:jc w:val="both"/>
        <w:rPr>
          <w:rFonts w:ascii="Arial" w:hAnsi="Arial" w:cs="Arial"/>
          <w:sz w:val="22"/>
          <w:szCs w:val="22"/>
        </w:rPr>
      </w:pPr>
    </w:p>
    <w:p w14:paraId="3E4A8386" w14:textId="1D4C887A" w:rsidR="00C678FF" w:rsidRPr="006B11F5" w:rsidRDefault="009203E5" w:rsidP="00015850">
      <w:pPr>
        <w:jc w:val="center"/>
        <w:rPr>
          <w:rFonts w:ascii="Arial" w:hAnsi="Arial" w:cs="Arial"/>
        </w:rPr>
      </w:pPr>
      <w:r w:rsidRPr="009203E5">
        <w:rPr>
          <w:rFonts w:ascii="Arial" w:hAnsi="Arial" w:cs="Arial"/>
          <w:noProof/>
        </w:rPr>
        <w:drawing>
          <wp:inline distT="0" distB="0" distL="0" distR="0" wp14:anchorId="1C1C6DD7" wp14:editId="61C0AF64">
            <wp:extent cx="3989070" cy="1416801"/>
            <wp:effectExtent l="0" t="0" r="0" b="0"/>
            <wp:docPr id="266059259"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059259" name="Imagen 1" descr="Texto&#10;&#10;El contenido generado por IA puede ser incorrecto."/>
                    <pic:cNvPicPr/>
                  </pic:nvPicPr>
                  <pic:blipFill>
                    <a:blip r:embed="rId25"/>
                    <a:stretch>
                      <a:fillRect/>
                    </a:stretch>
                  </pic:blipFill>
                  <pic:spPr>
                    <a:xfrm>
                      <a:off x="0" y="0"/>
                      <a:ext cx="4000085" cy="1420713"/>
                    </a:xfrm>
                    <a:prstGeom prst="rect">
                      <a:avLst/>
                    </a:prstGeom>
                  </pic:spPr>
                </pic:pic>
              </a:graphicData>
            </a:graphic>
          </wp:inline>
        </w:drawing>
      </w:r>
    </w:p>
    <w:p w14:paraId="7FDCE56B" w14:textId="77777777" w:rsidR="00C678FF" w:rsidRDefault="00C678FF" w:rsidP="00B026E0">
      <w:pPr>
        <w:ind w:left="-567"/>
        <w:jc w:val="both"/>
        <w:rPr>
          <w:rFonts w:ascii="Arial" w:eastAsiaTheme="minorEastAsia" w:hAnsi="Arial" w:cs="Arial"/>
          <w:b/>
          <w:bCs/>
          <w:color w:val="4472C4" w:themeColor="accent1"/>
          <w:sz w:val="22"/>
          <w:szCs w:val="22"/>
        </w:rPr>
      </w:pPr>
    </w:p>
    <w:p w14:paraId="7B485BCE" w14:textId="0ADFB339" w:rsidR="00C678FF" w:rsidRPr="00E67120" w:rsidRDefault="002A03ED" w:rsidP="00211531">
      <w:pPr>
        <w:jc w:val="both"/>
        <w:rPr>
          <w:rFonts w:ascii="Arial" w:hAnsi="Arial" w:cs="Arial"/>
          <w:sz w:val="22"/>
          <w:szCs w:val="22"/>
        </w:rPr>
      </w:pPr>
      <w:r w:rsidRPr="00E67120">
        <w:rPr>
          <w:rFonts w:ascii="Arial" w:hAnsi="Arial" w:cs="Arial"/>
          <w:sz w:val="22"/>
          <w:szCs w:val="22"/>
        </w:rPr>
        <w:t xml:space="preserve">Con fundamento en lo expuesto, se </w:t>
      </w:r>
      <w:r w:rsidR="001C1EFA" w:rsidRPr="00E67120">
        <w:rPr>
          <w:rFonts w:ascii="Arial" w:hAnsi="Arial" w:cs="Arial"/>
          <w:sz w:val="22"/>
          <w:szCs w:val="22"/>
        </w:rPr>
        <w:t xml:space="preserve">llevó a cabo </w:t>
      </w:r>
      <w:r w:rsidR="00E40EBF" w:rsidRPr="00E67120">
        <w:rPr>
          <w:rFonts w:ascii="Arial" w:hAnsi="Arial" w:cs="Arial"/>
          <w:sz w:val="22"/>
          <w:szCs w:val="22"/>
        </w:rPr>
        <w:t xml:space="preserve">el Comité </w:t>
      </w:r>
      <w:proofErr w:type="spellStart"/>
      <w:r w:rsidR="00E40EBF" w:rsidRPr="00E67120">
        <w:rPr>
          <w:rFonts w:ascii="Arial" w:hAnsi="Arial" w:cs="Arial"/>
          <w:sz w:val="22"/>
          <w:szCs w:val="22"/>
        </w:rPr>
        <w:t>Fiduaciario</w:t>
      </w:r>
      <w:proofErr w:type="spellEnd"/>
      <w:r w:rsidR="00E40EBF" w:rsidRPr="00E67120">
        <w:rPr>
          <w:rFonts w:ascii="Arial" w:hAnsi="Arial" w:cs="Arial"/>
          <w:sz w:val="22"/>
          <w:szCs w:val="22"/>
        </w:rPr>
        <w:t xml:space="preserve"> de fecha 4 de noviembre de 2025 en el cual se analizó la solicitud de prórroga radicada por </w:t>
      </w:r>
      <w:proofErr w:type="spellStart"/>
      <w:r w:rsidR="00E40EBF" w:rsidRPr="00E67120">
        <w:rPr>
          <w:rFonts w:ascii="Arial" w:hAnsi="Arial" w:cs="Arial"/>
          <w:sz w:val="22"/>
          <w:szCs w:val="22"/>
        </w:rPr>
        <w:t>Fiduagraria</w:t>
      </w:r>
      <w:proofErr w:type="spellEnd"/>
      <w:r w:rsidR="00E40EBF" w:rsidRPr="00E67120">
        <w:rPr>
          <w:rFonts w:ascii="Arial" w:hAnsi="Arial" w:cs="Arial"/>
          <w:sz w:val="22"/>
          <w:szCs w:val="22"/>
        </w:rPr>
        <w:t xml:space="preserve"> a través de</w:t>
      </w:r>
      <w:r w:rsidR="00211531" w:rsidRPr="00E67120">
        <w:rPr>
          <w:rFonts w:ascii="Arial" w:hAnsi="Arial" w:cs="Arial"/>
          <w:sz w:val="22"/>
          <w:szCs w:val="22"/>
        </w:rPr>
        <w:t xml:space="preserve">l oficio VNO-VISR-29745, y en él se analizaron las siguientes recomendaciones: </w:t>
      </w:r>
    </w:p>
    <w:p w14:paraId="23392208" w14:textId="77777777" w:rsidR="00C5434F" w:rsidRPr="00E67120" w:rsidRDefault="00C5434F" w:rsidP="00211531">
      <w:pPr>
        <w:jc w:val="both"/>
        <w:rPr>
          <w:rFonts w:ascii="Arial" w:hAnsi="Arial" w:cs="Arial"/>
          <w:sz w:val="22"/>
          <w:szCs w:val="22"/>
        </w:rPr>
      </w:pPr>
    </w:p>
    <w:p w14:paraId="58AFB7E4" w14:textId="39FFBE6D" w:rsidR="00211531" w:rsidRPr="00E67120" w:rsidRDefault="00C5434F" w:rsidP="00211531">
      <w:pPr>
        <w:jc w:val="both"/>
        <w:rPr>
          <w:rFonts w:ascii="Arial" w:hAnsi="Arial" w:cs="Arial"/>
          <w:i/>
          <w:iCs/>
          <w:sz w:val="22"/>
          <w:szCs w:val="22"/>
        </w:rPr>
      </w:pPr>
      <w:r w:rsidRPr="00E67120">
        <w:rPr>
          <w:rFonts w:ascii="Arial" w:hAnsi="Arial" w:cs="Arial"/>
          <w:sz w:val="22"/>
          <w:szCs w:val="22"/>
        </w:rPr>
        <w:t>“</w:t>
      </w:r>
      <w:r w:rsidRPr="00E67120">
        <w:rPr>
          <w:rFonts w:ascii="Arial" w:hAnsi="Arial" w:cs="Arial"/>
          <w:i/>
          <w:iCs/>
          <w:sz w:val="22"/>
          <w:szCs w:val="22"/>
        </w:rPr>
        <w:t>(…)</w:t>
      </w:r>
    </w:p>
    <w:p w14:paraId="244F2690" w14:textId="056050D2" w:rsidR="005256B4" w:rsidRPr="00E67120" w:rsidRDefault="005256B4" w:rsidP="005F760B">
      <w:pPr>
        <w:pStyle w:val="Prrafodelista"/>
        <w:numPr>
          <w:ilvl w:val="0"/>
          <w:numId w:val="9"/>
        </w:numPr>
        <w:jc w:val="both"/>
        <w:rPr>
          <w:rFonts w:ascii="Arial" w:hAnsi="Arial" w:cs="Arial"/>
          <w:i/>
          <w:iCs/>
          <w:sz w:val="22"/>
          <w:szCs w:val="22"/>
        </w:rPr>
      </w:pPr>
      <w:r w:rsidRPr="00E67120">
        <w:rPr>
          <w:rFonts w:ascii="Arial" w:hAnsi="Arial" w:cs="Arial"/>
          <w:i/>
          <w:iCs/>
          <w:sz w:val="22"/>
          <w:szCs w:val="22"/>
        </w:rPr>
        <w:t>Recomendación técnica</w:t>
      </w:r>
    </w:p>
    <w:p w14:paraId="69370724" w14:textId="77777777" w:rsidR="00680B74" w:rsidRPr="00E67120" w:rsidRDefault="00680B74" w:rsidP="005256B4">
      <w:pPr>
        <w:jc w:val="both"/>
        <w:rPr>
          <w:rFonts w:ascii="Arial" w:hAnsi="Arial" w:cs="Arial"/>
          <w:i/>
          <w:iCs/>
          <w:sz w:val="22"/>
          <w:szCs w:val="22"/>
        </w:rPr>
      </w:pPr>
    </w:p>
    <w:p w14:paraId="0B87297F" w14:textId="231EA1EF" w:rsidR="005256B4" w:rsidRPr="00E67120" w:rsidRDefault="005256B4" w:rsidP="005256B4">
      <w:pPr>
        <w:jc w:val="both"/>
        <w:rPr>
          <w:rFonts w:ascii="Arial" w:hAnsi="Arial" w:cs="Arial"/>
          <w:i/>
          <w:iCs/>
          <w:sz w:val="22"/>
          <w:szCs w:val="22"/>
        </w:rPr>
      </w:pPr>
      <w:r w:rsidRPr="00E67120">
        <w:rPr>
          <w:rFonts w:ascii="Arial" w:hAnsi="Arial" w:cs="Arial"/>
          <w:i/>
          <w:iCs/>
          <w:sz w:val="22"/>
          <w:szCs w:val="22"/>
        </w:rPr>
        <w:t>A la fecha, del total de viviendas contratadas para la vigencia 2018, que corresponde a 5.444 SVISR, se han terminado 1208 viviendas que corresponde al 22,18%, avance poco significativo teniendo en cuenta el tiempo transcurrido.</w:t>
      </w:r>
    </w:p>
    <w:p w14:paraId="20E1AECE" w14:textId="77777777" w:rsidR="00680B74" w:rsidRPr="00E67120" w:rsidRDefault="00680B74" w:rsidP="005256B4">
      <w:pPr>
        <w:jc w:val="both"/>
        <w:rPr>
          <w:rFonts w:ascii="Arial" w:hAnsi="Arial" w:cs="Arial"/>
          <w:i/>
          <w:iCs/>
          <w:sz w:val="22"/>
          <w:szCs w:val="22"/>
        </w:rPr>
      </w:pPr>
    </w:p>
    <w:p w14:paraId="5B4FB60A" w14:textId="7F19EE8E" w:rsidR="005256B4" w:rsidRPr="00E67120" w:rsidRDefault="005256B4" w:rsidP="005256B4">
      <w:pPr>
        <w:jc w:val="both"/>
        <w:rPr>
          <w:rFonts w:ascii="Arial" w:hAnsi="Arial" w:cs="Arial"/>
          <w:i/>
          <w:iCs/>
          <w:sz w:val="22"/>
          <w:szCs w:val="22"/>
        </w:rPr>
      </w:pPr>
      <w:r w:rsidRPr="00E67120">
        <w:rPr>
          <w:rFonts w:ascii="Arial" w:hAnsi="Arial" w:cs="Arial"/>
          <w:i/>
          <w:iCs/>
          <w:sz w:val="22"/>
          <w:szCs w:val="22"/>
        </w:rPr>
        <w:t>- Las vicisitudes presentadas en la operación del programa, tales como demoras en la contratación y desistimiento de contratistas, han sido recurrentes durante el último tiempo y no se vislumbra acciones que garanticen la superación de dichas dificultades, por lo que es otro factor a tener en cuenta para no considerar la solicitud de prórroga.</w:t>
      </w:r>
    </w:p>
    <w:p w14:paraId="1C0793B9" w14:textId="77777777" w:rsidR="005256B4" w:rsidRPr="00E67120" w:rsidRDefault="005256B4" w:rsidP="005256B4">
      <w:pPr>
        <w:jc w:val="both"/>
        <w:rPr>
          <w:rFonts w:ascii="Arial" w:hAnsi="Arial" w:cs="Arial"/>
          <w:i/>
          <w:iCs/>
          <w:sz w:val="22"/>
          <w:szCs w:val="22"/>
        </w:rPr>
      </w:pPr>
      <w:r w:rsidRPr="00E67120">
        <w:rPr>
          <w:rFonts w:ascii="Arial" w:hAnsi="Arial" w:cs="Arial"/>
          <w:i/>
          <w:iCs/>
          <w:sz w:val="22"/>
          <w:szCs w:val="22"/>
        </w:rPr>
        <w:t xml:space="preserve">- Las razones expuestas por </w:t>
      </w:r>
      <w:proofErr w:type="spellStart"/>
      <w:r w:rsidRPr="00E67120">
        <w:rPr>
          <w:rFonts w:ascii="Arial" w:hAnsi="Arial" w:cs="Arial"/>
          <w:i/>
          <w:iCs/>
          <w:sz w:val="22"/>
          <w:szCs w:val="22"/>
        </w:rPr>
        <w:t>Fiduagraria</w:t>
      </w:r>
      <w:proofErr w:type="spellEnd"/>
      <w:r w:rsidRPr="00E67120">
        <w:rPr>
          <w:rFonts w:ascii="Arial" w:hAnsi="Arial" w:cs="Arial"/>
          <w:i/>
          <w:iCs/>
          <w:sz w:val="22"/>
          <w:szCs w:val="22"/>
        </w:rPr>
        <w:t>, ola invernal y condiciones de seguridad no se pueden considerar como justificación de la prórroga, pues no se logra demostrar la real incidencia de estos factores en la materialización de las viviendas”</w:t>
      </w:r>
    </w:p>
    <w:p w14:paraId="31F602E3" w14:textId="77777777" w:rsidR="00817BB1" w:rsidRPr="00E67120" w:rsidRDefault="005256B4" w:rsidP="005256B4">
      <w:pPr>
        <w:jc w:val="both"/>
        <w:rPr>
          <w:rFonts w:ascii="Arial" w:hAnsi="Arial" w:cs="Arial"/>
          <w:b/>
          <w:bCs/>
          <w:i/>
          <w:iCs/>
          <w:sz w:val="22"/>
          <w:szCs w:val="22"/>
        </w:rPr>
      </w:pPr>
      <w:r w:rsidRPr="00E67120">
        <w:rPr>
          <w:rFonts w:ascii="Arial" w:hAnsi="Arial" w:cs="Arial"/>
          <w:b/>
          <w:bCs/>
          <w:i/>
          <w:iCs/>
          <w:sz w:val="22"/>
          <w:szCs w:val="22"/>
        </w:rPr>
        <w:t>De acuerdo con lo expresado por el supervisor técnico se recomendó a los miembros del comit</w:t>
      </w:r>
      <w:r w:rsidR="00680B74" w:rsidRPr="00E67120">
        <w:rPr>
          <w:rFonts w:ascii="Arial" w:hAnsi="Arial" w:cs="Arial"/>
          <w:b/>
          <w:bCs/>
          <w:i/>
          <w:iCs/>
          <w:sz w:val="22"/>
          <w:szCs w:val="22"/>
        </w:rPr>
        <w:t>é</w:t>
      </w:r>
      <w:r w:rsidRPr="00E67120">
        <w:rPr>
          <w:rFonts w:ascii="Arial" w:hAnsi="Arial" w:cs="Arial"/>
          <w:b/>
          <w:bCs/>
          <w:i/>
          <w:iCs/>
          <w:sz w:val="22"/>
          <w:szCs w:val="22"/>
        </w:rPr>
        <w:t xml:space="preserve"> fiduciario no prorrogar el contrato.</w:t>
      </w:r>
    </w:p>
    <w:p w14:paraId="45DD4F38" w14:textId="77777777" w:rsidR="00817BB1" w:rsidRPr="00E67120" w:rsidRDefault="00817BB1" w:rsidP="005256B4">
      <w:pPr>
        <w:jc w:val="both"/>
        <w:rPr>
          <w:rFonts w:ascii="Arial" w:hAnsi="Arial" w:cs="Arial"/>
          <w:i/>
          <w:iCs/>
          <w:sz w:val="22"/>
          <w:szCs w:val="22"/>
        </w:rPr>
      </w:pPr>
    </w:p>
    <w:p w14:paraId="4DD7192F" w14:textId="77777777" w:rsidR="00817BB1" w:rsidRPr="00E67120" w:rsidRDefault="00817BB1" w:rsidP="005256B4">
      <w:pPr>
        <w:jc w:val="both"/>
        <w:rPr>
          <w:rFonts w:ascii="Arial" w:hAnsi="Arial" w:cs="Arial"/>
          <w:i/>
          <w:iCs/>
          <w:sz w:val="22"/>
          <w:szCs w:val="22"/>
        </w:rPr>
      </w:pPr>
      <w:r w:rsidRPr="00E67120">
        <w:rPr>
          <w:rFonts w:ascii="Arial" w:hAnsi="Arial" w:cs="Arial"/>
          <w:i/>
          <w:iCs/>
          <w:sz w:val="22"/>
          <w:szCs w:val="22"/>
        </w:rPr>
        <w:t>(…)</w:t>
      </w:r>
    </w:p>
    <w:p w14:paraId="0C8B85D5" w14:textId="77777777" w:rsidR="00817BB1" w:rsidRPr="00E67120" w:rsidRDefault="00817BB1" w:rsidP="00817BB1">
      <w:pPr>
        <w:jc w:val="both"/>
        <w:rPr>
          <w:rFonts w:ascii="Arial" w:hAnsi="Arial" w:cs="Arial"/>
          <w:i/>
          <w:iCs/>
          <w:sz w:val="22"/>
          <w:szCs w:val="22"/>
          <w:lang w:val="es-MX"/>
        </w:rPr>
      </w:pPr>
    </w:p>
    <w:p w14:paraId="5F99FC5E" w14:textId="77777777" w:rsidR="00817BB1" w:rsidRPr="00E67120" w:rsidRDefault="00817BB1" w:rsidP="005F760B">
      <w:pPr>
        <w:numPr>
          <w:ilvl w:val="0"/>
          <w:numId w:val="10"/>
        </w:numPr>
        <w:jc w:val="both"/>
        <w:rPr>
          <w:rFonts w:ascii="Arial" w:hAnsi="Arial" w:cs="Arial"/>
          <w:b/>
          <w:bCs/>
          <w:i/>
          <w:iCs/>
          <w:sz w:val="22"/>
          <w:szCs w:val="22"/>
          <w:lang w:val="es-MX"/>
        </w:rPr>
      </w:pPr>
      <w:r w:rsidRPr="00E67120">
        <w:rPr>
          <w:rFonts w:ascii="Arial" w:hAnsi="Arial" w:cs="Arial"/>
          <w:b/>
          <w:bCs/>
          <w:i/>
          <w:iCs/>
          <w:sz w:val="22"/>
          <w:szCs w:val="22"/>
          <w:lang w:val="es-MX"/>
        </w:rPr>
        <w:lastRenderedPageBreak/>
        <w:t xml:space="preserve">Recomendación Financiera: </w:t>
      </w:r>
    </w:p>
    <w:p w14:paraId="317380A2" w14:textId="77777777" w:rsidR="00817BB1" w:rsidRPr="00E67120" w:rsidRDefault="00817BB1" w:rsidP="00817BB1">
      <w:pPr>
        <w:jc w:val="both"/>
        <w:rPr>
          <w:rFonts w:ascii="Arial" w:hAnsi="Arial" w:cs="Arial"/>
          <w:i/>
          <w:iCs/>
          <w:sz w:val="22"/>
          <w:szCs w:val="22"/>
          <w:lang w:val="es-MX"/>
        </w:rPr>
      </w:pPr>
    </w:p>
    <w:p w14:paraId="371AA291" w14:textId="77777777" w:rsidR="00817BB1" w:rsidRPr="00E67120" w:rsidRDefault="00817BB1" w:rsidP="005F760B">
      <w:pPr>
        <w:numPr>
          <w:ilvl w:val="0"/>
          <w:numId w:val="11"/>
        </w:numPr>
        <w:jc w:val="both"/>
        <w:rPr>
          <w:rFonts w:ascii="Arial" w:hAnsi="Arial" w:cs="Arial"/>
          <w:i/>
          <w:iCs/>
          <w:sz w:val="22"/>
          <w:szCs w:val="22"/>
          <w:lang w:val="es-MX"/>
        </w:rPr>
      </w:pPr>
      <w:r w:rsidRPr="00E67120">
        <w:rPr>
          <w:rFonts w:ascii="Arial" w:hAnsi="Arial" w:cs="Arial"/>
          <w:i/>
          <w:iCs/>
          <w:sz w:val="22"/>
          <w:szCs w:val="22"/>
          <w:lang w:val="es-MX"/>
        </w:rPr>
        <w:t xml:space="preserve">Anticipos y cuentas por cobrar: Se presenta en los dos contratos de fiducia un alto porcentaje de anticipos sin recuperar y de cuentas por cobrar. </w:t>
      </w:r>
    </w:p>
    <w:p w14:paraId="13DB54BE" w14:textId="77777777" w:rsidR="00817BB1" w:rsidRPr="00E67120" w:rsidRDefault="00817BB1" w:rsidP="005F760B">
      <w:pPr>
        <w:numPr>
          <w:ilvl w:val="0"/>
          <w:numId w:val="11"/>
        </w:numPr>
        <w:jc w:val="both"/>
        <w:rPr>
          <w:rFonts w:ascii="Arial" w:hAnsi="Arial" w:cs="Arial"/>
          <w:i/>
          <w:iCs/>
          <w:sz w:val="22"/>
          <w:szCs w:val="22"/>
          <w:lang w:val="es-MX"/>
        </w:rPr>
      </w:pPr>
      <w:r w:rsidRPr="00E67120">
        <w:rPr>
          <w:rFonts w:ascii="Arial" w:hAnsi="Arial" w:cs="Arial"/>
          <w:i/>
          <w:iCs/>
          <w:sz w:val="22"/>
          <w:szCs w:val="22"/>
          <w:lang w:val="es-MX"/>
        </w:rPr>
        <w:t xml:space="preserve">Bajo saldo operativo del fideicomiso: Al corte de julio de 2025, el flujo de caja disponible en los dos contratos de fiducia es bajo, lo que limita la operatividad. </w:t>
      </w:r>
    </w:p>
    <w:p w14:paraId="604EBC1D" w14:textId="77777777" w:rsidR="00817BB1" w:rsidRPr="00E67120" w:rsidRDefault="00817BB1" w:rsidP="005F760B">
      <w:pPr>
        <w:numPr>
          <w:ilvl w:val="0"/>
          <w:numId w:val="11"/>
        </w:numPr>
        <w:jc w:val="both"/>
        <w:rPr>
          <w:rFonts w:ascii="Arial" w:hAnsi="Arial" w:cs="Arial"/>
          <w:i/>
          <w:iCs/>
          <w:sz w:val="22"/>
          <w:szCs w:val="22"/>
          <w:lang w:val="es-MX"/>
        </w:rPr>
      </w:pPr>
      <w:r w:rsidRPr="00E67120">
        <w:rPr>
          <w:rFonts w:ascii="Arial" w:hAnsi="Arial" w:cs="Arial"/>
          <w:i/>
          <w:iCs/>
          <w:sz w:val="22"/>
          <w:szCs w:val="22"/>
          <w:lang w:val="es-MX"/>
        </w:rPr>
        <w:t xml:space="preserve">Restricción de recursos: Existen limitaciones en las apropiaciones presupuestales. </w:t>
      </w:r>
    </w:p>
    <w:p w14:paraId="47937C20" w14:textId="77777777" w:rsidR="00817BB1" w:rsidRPr="00E67120" w:rsidRDefault="00817BB1" w:rsidP="005F760B">
      <w:pPr>
        <w:numPr>
          <w:ilvl w:val="0"/>
          <w:numId w:val="11"/>
        </w:numPr>
        <w:jc w:val="both"/>
        <w:rPr>
          <w:rFonts w:ascii="Arial" w:hAnsi="Arial" w:cs="Arial"/>
          <w:i/>
          <w:iCs/>
          <w:sz w:val="22"/>
          <w:szCs w:val="22"/>
          <w:lang w:val="es-MX"/>
        </w:rPr>
      </w:pPr>
      <w:r w:rsidRPr="00E67120">
        <w:rPr>
          <w:rFonts w:ascii="Arial" w:hAnsi="Arial" w:cs="Arial"/>
          <w:i/>
          <w:iCs/>
          <w:sz w:val="22"/>
          <w:szCs w:val="22"/>
          <w:lang w:val="es-MX"/>
        </w:rPr>
        <w:t xml:space="preserve">Baja ejecución: Existe un alto porcentaje de subsidios sin materializar. </w:t>
      </w:r>
    </w:p>
    <w:p w14:paraId="1A5C5643" w14:textId="0A269067" w:rsidR="00906474" w:rsidRPr="00E67120" w:rsidRDefault="00817BB1" w:rsidP="00906474">
      <w:pPr>
        <w:jc w:val="both"/>
        <w:rPr>
          <w:rFonts w:ascii="Arial" w:hAnsi="Arial" w:cs="Arial"/>
          <w:i/>
          <w:iCs/>
          <w:sz w:val="22"/>
          <w:szCs w:val="22"/>
        </w:rPr>
      </w:pPr>
      <w:r w:rsidRPr="00E67120">
        <w:rPr>
          <w:rFonts w:ascii="Arial" w:hAnsi="Arial" w:cs="Arial"/>
          <w:b/>
          <w:bCs/>
          <w:i/>
          <w:iCs/>
          <w:sz w:val="22"/>
          <w:szCs w:val="22"/>
          <w:lang w:val="es-MX"/>
        </w:rPr>
        <w:t>De acuerdo con lo expresado por el supervisor financiero se recomendó a los miembros del comité fiduciario no prorrogar el contrato</w:t>
      </w:r>
      <w:r w:rsidRPr="00E67120">
        <w:rPr>
          <w:rFonts w:ascii="Arial" w:hAnsi="Arial" w:cs="Arial"/>
          <w:i/>
          <w:iCs/>
          <w:sz w:val="22"/>
          <w:szCs w:val="22"/>
          <w:lang w:val="es-MX"/>
        </w:rPr>
        <w:t>.</w:t>
      </w:r>
      <w:r w:rsidR="00C5434F" w:rsidRPr="00E67120">
        <w:rPr>
          <w:rFonts w:ascii="Arial" w:hAnsi="Arial" w:cs="Arial"/>
          <w:i/>
          <w:iCs/>
          <w:sz w:val="22"/>
          <w:szCs w:val="22"/>
        </w:rPr>
        <w:t>”</w:t>
      </w:r>
    </w:p>
    <w:p w14:paraId="679B42EE" w14:textId="475BEB9C" w:rsidR="00A334BA" w:rsidRPr="00E67120" w:rsidRDefault="00A334BA" w:rsidP="00A334BA">
      <w:pPr>
        <w:jc w:val="both"/>
        <w:rPr>
          <w:rFonts w:ascii="Arial" w:eastAsiaTheme="minorEastAsia" w:hAnsi="Arial" w:cs="Arial"/>
          <w:b/>
          <w:bCs/>
          <w:color w:val="4472C4" w:themeColor="accent1"/>
          <w:sz w:val="22"/>
          <w:szCs w:val="22"/>
        </w:rPr>
      </w:pPr>
    </w:p>
    <w:p w14:paraId="64F8445B" w14:textId="77777777" w:rsidR="002A03ED" w:rsidRPr="00E67120" w:rsidRDefault="002A03ED" w:rsidP="00B026E0">
      <w:pPr>
        <w:ind w:left="-567"/>
        <w:jc w:val="both"/>
        <w:rPr>
          <w:rFonts w:ascii="Arial" w:eastAsiaTheme="minorEastAsia" w:hAnsi="Arial" w:cs="Arial"/>
          <w:b/>
          <w:bCs/>
          <w:color w:val="4472C4" w:themeColor="accent1"/>
          <w:sz w:val="22"/>
          <w:szCs w:val="22"/>
        </w:rPr>
      </w:pPr>
    </w:p>
    <w:p w14:paraId="458F8771" w14:textId="1F3B9B00" w:rsidR="00B026E0" w:rsidRPr="00E67120" w:rsidRDefault="00B026E0" w:rsidP="00B026E0">
      <w:pPr>
        <w:ind w:left="-567"/>
        <w:jc w:val="both"/>
        <w:rPr>
          <w:rFonts w:ascii="Arial" w:eastAsiaTheme="minorEastAsia" w:hAnsi="Arial" w:cs="Arial"/>
          <w:b/>
          <w:bCs/>
          <w:color w:val="385623" w:themeColor="accent6" w:themeShade="80"/>
          <w:sz w:val="22"/>
          <w:szCs w:val="22"/>
        </w:rPr>
      </w:pPr>
      <w:r w:rsidRPr="00E67120">
        <w:rPr>
          <w:rFonts w:ascii="Arial" w:eastAsiaTheme="minorEastAsia" w:hAnsi="Arial" w:cs="Arial"/>
          <w:b/>
          <w:bCs/>
          <w:color w:val="385623" w:themeColor="accent6" w:themeShade="80"/>
          <w:sz w:val="22"/>
          <w:szCs w:val="22"/>
        </w:rPr>
        <w:t>Vigencia 201</w:t>
      </w:r>
      <w:r w:rsidR="00FA11F9" w:rsidRPr="00E67120">
        <w:rPr>
          <w:rFonts w:ascii="Arial" w:eastAsiaTheme="minorEastAsia" w:hAnsi="Arial" w:cs="Arial"/>
          <w:b/>
          <w:bCs/>
          <w:color w:val="385623" w:themeColor="accent6" w:themeShade="80"/>
          <w:sz w:val="22"/>
          <w:szCs w:val="22"/>
        </w:rPr>
        <w:t>9</w:t>
      </w:r>
      <w:r w:rsidRPr="00E67120">
        <w:rPr>
          <w:rFonts w:ascii="Arial" w:eastAsiaTheme="minorEastAsia" w:hAnsi="Arial" w:cs="Arial"/>
          <w:b/>
          <w:bCs/>
          <w:color w:val="385623" w:themeColor="accent6" w:themeShade="80"/>
          <w:sz w:val="22"/>
          <w:szCs w:val="22"/>
        </w:rPr>
        <w:t xml:space="preserve"> – Contrato 201</w:t>
      </w:r>
      <w:r w:rsidR="00FA11F9" w:rsidRPr="00E67120">
        <w:rPr>
          <w:rFonts w:ascii="Arial" w:eastAsiaTheme="minorEastAsia" w:hAnsi="Arial" w:cs="Arial"/>
          <w:b/>
          <w:bCs/>
          <w:color w:val="385623" w:themeColor="accent6" w:themeShade="80"/>
          <w:sz w:val="22"/>
          <w:szCs w:val="22"/>
        </w:rPr>
        <w:t>9</w:t>
      </w:r>
      <w:r w:rsidRPr="00E67120">
        <w:rPr>
          <w:rFonts w:ascii="Arial" w:eastAsiaTheme="minorEastAsia" w:hAnsi="Arial" w:cs="Arial"/>
          <w:b/>
          <w:bCs/>
          <w:color w:val="385623" w:themeColor="accent6" w:themeShade="80"/>
          <w:sz w:val="22"/>
          <w:szCs w:val="22"/>
        </w:rPr>
        <w:t>04</w:t>
      </w:r>
      <w:r w:rsidR="00023E3C" w:rsidRPr="00E67120">
        <w:rPr>
          <w:rFonts w:ascii="Arial" w:eastAsiaTheme="minorEastAsia" w:hAnsi="Arial" w:cs="Arial"/>
          <w:b/>
          <w:bCs/>
          <w:color w:val="385623" w:themeColor="accent6" w:themeShade="80"/>
          <w:sz w:val="22"/>
          <w:szCs w:val="22"/>
        </w:rPr>
        <w:t>18</w:t>
      </w:r>
    </w:p>
    <w:p w14:paraId="31C9C546" w14:textId="77777777" w:rsidR="00213B0C" w:rsidRDefault="00213B0C" w:rsidP="00CC546D">
      <w:pPr>
        <w:ind w:left="-567"/>
        <w:jc w:val="both"/>
        <w:rPr>
          <w:rFonts w:ascii="Arial" w:eastAsiaTheme="minorEastAsia" w:hAnsi="Arial" w:cs="Arial"/>
          <w:color w:val="EE0000"/>
          <w:sz w:val="22"/>
          <w:szCs w:val="22"/>
          <w:lang w:val="es-ES_tradnl"/>
        </w:rPr>
      </w:pPr>
    </w:p>
    <w:p w14:paraId="4A44D5E7" w14:textId="5FE6BC11" w:rsidR="004A05F3" w:rsidRPr="00213B0C" w:rsidRDefault="00213B0C" w:rsidP="00CC546D">
      <w:pPr>
        <w:ind w:left="-567"/>
        <w:jc w:val="both"/>
        <w:rPr>
          <w:rFonts w:ascii="Arial" w:eastAsiaTheme="minorEastAsia" w:hAnsi="Arial" w:cs="Arial"/>
          <w:color w:val="EE0000"/>
          <w:sz w:val="22"/>
          <w:szCs w:val="22"/>
          <w:lang w:val="es-ES_tradnl"/>
        </w:rPr>
      </w:pPr>
      <w:r w:rsidRPr="00213B0C">
        <w:rPr>
          <w:rFonts w:ascii="Arial" w:eastAsiaTheme="minorEastAsia" w:hAnsi="Arial" w:cs="Arial"/>
          <w:color w:val="EE0000"/>
          <w:sz w:val="22"/>
          <w:szCs w:val="22"/>
          <w:lang w:val="es-ES_tradnl"/>
        </w:rPr>
        <w:t>GLADYS</w:t>
      </w:r>
    </w:p>
    <w:p w14:paraId="65C2092C" w14:textId="77777777" w:rsidR="00213B0C" w:rsidRDefault="00213B0C" w:rsidP="00023E3C">
      <w:pPr>
        <w:ind w:left="-567"/>
        <w:jc w:val="both"/>
        <w:rPr>
          <w:rFonts w:ascii="Arial" w:eastAsiaTheme="minorEastAsia" w:hAnsi="Arial" w:cs="Arial"/>
          <w:b/>
          <w:bCs/>
          <w:color w:val="000000" w:themeColor="text1"/>
          <w:sz w:val="22"/>
          <w:szCs w:val="22"/>
          <w:lang w:val="es-ES_tradnl"/>
        </w:rPr>
      </w:pPr>
    </w:p>
    <w:p w14:paraId="64B12888" w14:textId="284B2473" w:rsidR="00023E3C" w:rsidRPr="00E67120" w:rsidRDefault="00023E3C" w:rsidP="00023E3C">
      <w:pPr>
        <w:ind w:left="-567"/>
        <w:jc w:val="both"/>
        <w:rPr>
          <w:rFonts w:ascii="Arial" w:eastAsiaTheme="minorEastAsia" w:hAnsi="Arial" w:cs="Arial"/>
          <w:color w:val="000000" w:themeColor="text1"/>
          <w:sz w:val="22"/>
          <w:szCs w:val="22"/>
          <w:lang w:val="es-ES_tradnl"/>
        </w:rPr>
      </w:pPr>
      <w:r w:rsidRPr="00E67120">
        <w:rPr>
          <w:rFonts w:ascii="Arial" w:eastAsiaTheme="minorEastAsia" w:hAnsi="Arial" w:cs="Arial"/>
          <w:b/>
          <w:bCs/>
          <w:color w:val="000000" w:themeColor="text1"/>
          <w:sz w:val="22"/>
          <w:szCs w:val="22"/>
          <w:lang w:val="es-ES_tradnl"/>
        </w:rPr>
        <w:t>Objeto del contrato.</w:t>
      </w:r>
      <w:r w:rsidRPr="00E67120">
        <w:rPr>
          <w:rFonts w:ascii="Arial" w:eastAsiaTheme="minorEastAsia" w:hAnsi="Arial" w:cs="Arial"/>
          <w:b/>
          <w:bCs/>
          <w:color w:val="4472C4" w:themeColor="accent1"/>
          <w:sz w:val="22"/>
          <w:szCs w:val="22"/>
        </w:rPr>
        <w:t xml:space="preserve"> </w:t>
      </w:r>
      <w:r w:rsidR="00E57EC8" w:rsidRPr="00E67120">
        <w:rPr>
          <w:rFonts w:ascii="Arial" w:eastAsiaTheme="minorEastAsia" w:hAnsi="Arial" w:cs="Arial"/>
          <w:color w:val="000000" w:themeColor="text1"/>
          <w:sz w:val="22"/>
          <w:szCs w:val="22"/>
        </w:rPr>
        <w:t>FIDUAGRARIA S.A., se obliga con EL MINISTERIO, a constituir un patrimonio autónomo de administración y pagos, para la administración de los recursos de subsidios de vivienda de interés social rural otorgados por EL MINISTERIO con el fin de que actué como su operador, de conformidad con las facultades establecidas en el Decreto Ley 890 de 2017, el Decreto 1071 de 2015 y/o la normatividad legal vigente</w:t>
      </w:r>
      <w:r w:rsidRPr="00E67120">
        <w:rPr>
          <w:rFonts w:ascii="Arial" w:eastAsiaTheme="minorEastAsia" w:hAnsi="Arial" w:cs="Arial"/>
          <w:color w:val="000000" w:themeColor="text1"/>
          <w:sz w:val="22"/>
          <w:szCs w:val="22"/>
          <w:lang w:val="es-ES_tradnl"/>
        </w:rPr>
        <w:t xml:space="preserve">. </w:t>
      </w:r>
    </w:p>
    <w:p w14:paraId="7B6CD766" w14:textId="77777777" w:rsidR="00023E3C" w:rsidRPr="00E67120" w:rsidRDefault="00023E3C" w:rsidP="00023E3C">
      <w:pPr>
        <w:ind w:left="-567"/>
        <w:jc w:val="both"/>
        <w:rPr>
          <w:rFonts w:ascii="Arial" w:eastAsiaTheme="minorEastAsia" w:hAnsi="Arial" w:cs="Arial"/>
          <w:color w:val="000000" w:themeColor="text1"/>
          <w:sz w:val="22"/>
          <w:szCs w:val="22"/>
          <w:lang w:val="es-ES_tradnl"/>
        </w:rPr>
      </w:pPr>
    </w:p>
    <w:p w14:paraId="43C6AF1E" w14:textId="77777777" w:rsidR="003B2593" w:rsidRPr="00E67120" w:rsidRDefault="00023E3C" w:rsidP="003B2593">
      <w:pPr>
        <w:ind w:left="-567"/>
        <w:jc w:val="both"/>
        <w:rPr>
          <w:rFonts w:ascii="Arial" w:eastAsiaTheme="minorEastAsia" w:hAnsi="Arial" w:cs="Arial"/>
          <w:color w:val="000000" w:themeColor="text1"/>
          <w:sz w:val="22"/>
          <w:szCs w:val="22"/>
        </w:rPr>
      </w:pPr>
      <w:r w:rsidRPr="00E67120">
        <w:rPr>
          <w:rFonts w:ascii="Arial" w:eastAsiaTheme="minorEastAsia" w:hAnsi="Arial" w:cs="Arial"/>
          <w:b/>
          <w:bCs/>
          <w:color w:val="000000" w:themeColor="text1"/>
          <w:sz w:val="22"/>
          <w:szCs w:val="22"/>
          <w:lang w:val="es-ES_tradnl"/>
        </w:rPr>
        <w:t>Valor Inicial</w:t>
      </w:r>
      <w:r w:rsidRPr="00E67120">
        <w:rPr>
          <w:rFonts w:ascii="Arial" w:eastAsiaTheme="minorEastAsia" w:hAnsi="Arial" w:cs="Arial"/>
          <w:color w:val="000000" w:themeColor="text1"/>
          <w:sz w:val="22"/>
          <w:szCs w:val="22"/>
          <w:lang w:val="es-ES_tradnl"/>
        </w:rPr>
        <w:t xml:space="preserve"> </w:t>
      </w:r>
      <w:r w:rsidR="007F0FB0" w:rsidRPr="00E67120">
        <w:rPr>
          <w:rFonts w:ascii="Arial" w:eastAsiaTheme="minorEastAsia" w:hAnsi="Arial" w:cs="Arial"/>
          <w:color w:val="000000" w:themeColor="text1"/>
          <w:sz w:val="22"/>
          <w:szCs w:val="22"/>
        </w:rPr>
        <w:t>$208.657.407.487</w:t>
      </w:r>
    </w:p>
    <w:p w14:paraId="79C70E31" w14:textId="77777777" w:rsidR="003B2593" w:rsidRPr="00E67120" w:rsidRDefault="003B2593" w:rsidP="003B2593">
      <w:pPr>
        <w:ind w:left="-567"/>
        <w:jc w:val="both"/>
        <w:rPr>
          <w:rFonts w:ascii="Arial" w:eastAsia="Arial" w:hAnsi="Arial" w:cs="Arial"/>
          <w:sz w:val="22"/>
          <w:szCs w:val="22"/>
          <w:lang w:val="es-ES"/>
        </w:rPr>
      </w:pPr>
    </w:p>
    <w:p w14:paraId="64BD445C" w14:textId="3838E572" w:rsidR="003B2593" w:rsidRPr="00E67120" w:rsidRDefault="003B2593" w:rsidP="003B2593">
      <w:pPr>
        <w:ind w:left="-567"/>
        <w:jc w:val="both"/>
        <w:rPr>
          <w:rFonts w:ascii="Arial" w:eastAsiaTheme="minorEastAsia" w:hAnsi="Arial" w:cs="Arial"/>
          <w:color w:val="000000" w:themeColor="text1"/>
          <w:sz w:val="22"/>
          <w:szCs w:val="22"/>
          <w:lang w:val="es-ES_tradnl"/>
        </w:rPr>
      </w:pPr>
      <w:r w:rsidRPr="00E67120">
        <w:rPr>
          <w:rFonts w:ascii="Arial" w:eastAsia="Arial" w:hAnsi="Arial" w:cs="Arial"/>
          <w:sz w:val="22"/>
          <w:szCs w:val="22"/>
          <w:lang w:val="es-ES"/>
        </w:rPr>
        <w:t>Mediante la prórroga 5 y modificación 3 del contrato, en noviembre de 2023 se redujo el alcance del objeto, de manera que se excluyeron 3.897 subsidios VISR.</w:t>
      </w:r>
    </w:p>
    <w:p w14:paraId="4BF45E27" w14:textId="77777777" w:rsidR="003B2593" w:rsidRPr="00E01D6C" w:rsidRDefault="003B2593" w:rsidP="003B2593">
      <w:pPr>
        <w:shd w:val="clear" w:color="auto" w:fill="FFFFFF" w:themeFill="background1"/>
        <w:jc w:val="both"/>
        <w:rPr>
          <w:rFonts w:ascii="Arial" w:eastAsia="Arial" w:hAnsi="Arial" w:cs="Arial"/>
          <w:lang w:val="es-ES_tradnl"/>
        </w:rPr>
      </w:pPr>
    </w:p>
    <w:tbl>
      <w:tblPr>
        <w:tblStyle w:val="Tablaconcuadrcula"/>
        <w:tblW w:w="0" w:type="auto"/>
        <w:jc w:val="center"/>
        <w:tblLayout w:type="fixed"/>
        <w:tblLook w:val="04A0" w:firstRow="1" w:lastRow="0" w:firstColumn="1" w:lastColumn="0" w:noHBand="0" w:noVBand="1"/>
      </w:tblPr>
      <w:tblGrid>
        <w:gridCol w:w="3455"/>
        <w:gridCol w:w="3119"/>
      </w:tblGrid>
      <w:tr w:rsidR="003B2593" w:rsidRPr="00E01D6C" w14:paraId="75C51AA3" w14:textId="77777777" w:rsidTr="005F589E">
        <w:trPr>
          <w:trHeight w:val="290"/>
          <w:jc w:val="center"/>
        </w:trPr>
        <w:tc>
          <w:tcPr>
            <w:tcW w:w="345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8CCEB1C" w14:textId="77777777" w:rsidR="003B2593" w:rsidRPr="00E01D6C" w:rsidRDefault="003B2593" w:rsidP="008670A6">
            <w:pPr>
              <w:shd w:val="clear" w:color="auto" w:fill="FFFFFF" w:themeFill="background1"/>
              <w:jc w:val="center"/>
              <w:rPr>
                <w:rFonts w:ascii="Arial" w:eastAsia="Arial" w:hAnsi="Arial" w:cs="Arial"/>
                <w:lang w:val="es-ES_tradnl"/>
              </w:rPr>
            </w:pPr>
            <w:r w:rsidRPr="00E01D6C">
              <w:rPr>
                <w:rFonts w:ascii="Arial" w:eastAsia="Arial" w:hAnsi="Arial" w:cs="Arial"/>
                <w:lang w:val="es-ES_tradnl"/>
              </w:rPr>
              <w:t>Alcance inicial</w:t>
            </w:r>
          </w:p>
        </w:tc>
        <w:tc>
          <w:tcPr>
            <w:tcW w:w="311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864956B" w14:textId="68CE9AA0" w:rsidR="003B2593" w:rsidRPr="00E01D6C" w:rsidRDefault="003B2593" w:rsidP="008670A6">
            <w:pPr>
              <w:shd w:val="clear" w:color="auto" w:fill="FFFFFF" w:themeFill="background1"/>
              <w:jc w:val="center"/>
              <w:rPr>
                <w:rFonts w:ascii="Arial" w:eastAsia="Arial" w:hAnsi="Arial" w:cs="Arial"/>
                <w:lang w:val="es-ES_tradnl"/>
              </w:rPr>
            </w:pPr>
            <w:r w:rsidRPr="00E01D6C">
              <w:rPr>
                <w:rFonts w:ascii="Arial" w:eastAsia="Arial" w:hAnsi="Arial" w:cs="Arial"/>
                <w:lang w:val="es-ES_tradnl"/>
              </w:rPr>
              <w:t>Alcance actual</w:t>
            </w:r>
          </w:p>
        </w:tc>
      </w:tr>
      <w:tr w:rsidR="003B2593" w:rsidRPr="00E01D6C" w14:paraId="16265C34" w14:textId="77777777" w:rsidTr="005F589E">
        <w:trPr>
          <w:trHeight w:val="273"/>
          <w:jc w:val="center"/>
        </w:trPr>
        <w:tc>
          <w:tcPr>
            <w:tcW w:w="3455" w:type="dxa"/>
            <w:tcBorders>
              <w:top w:val="single" w:sz="4" w:space="0" w:color="auto"/>
              <w:left w:val="single" w:sz="4" w:space="0" w:color="auto"/>
              <w:bottom w:val="single" w:sz="4" w:space="0" w:color="auto"/>
              <w:right w:val="single" w:sz="4" w:space="0" w:color="auto"/>
            </w:tcBorders>
            <w:hideMark/>
          </w:tcPr>
          <w:p w14:paraId="259BC738" w14:textId="77777777" w:rsidR="003B2593" w:rsidRPr="00E01D6C" w:rsidRDefault="003B2593" w:rsidP="008670A6">
            <w:pPr>
              <w:shd w:val="clear" w:color="auto" w:fill="FFFFFF" w:themeFill="background1"/>
              <w:jc w:val="center"/>
              <w:rPr>
                <w:rFonts w:ascii="Arial" w:eastAsia="Arial" w:hAnsi="Arial" w:cs="Arial"/>
                <w:lang w:val="es-ES_tradnl"/>
              </w:rPr>
            </w:pPr>
            <w:r w:rsidRPr="00E01D6C">
              <w:rPr>
                <w:rFonts w:ascii="Arial" w:eastAsia="Arial" w:hAnsi="Arial" w:cs="Arial"/>
                <w:lang w:val="es-ES_tradnl"/>
              </w:rPr>
              <w:t>7.081</w:t>
            </w:r>
          </w:p>
        </w:tc>
        <w:tc>
          <w:tcPr>
            <w:tcW w:w="3119" w:type="dxa"/>
            <w:tcBorders>
              <w:top w:val="single" w:sz="4" w:space="0" w:color="auto"/>
              <w:left w:val="single" w:sz="4" w:space="0" w:color="auto"/>
              <w:bottom w:val="single" w:sz="4" w:space="0" w:color="auto"/>
              <w:right w:val="single" w:sz="4" w:space="0" w:color="auto"/>
            </w:tcBorders>
            <w:hideMark/>
          </w:tcPr>
          <w:p w14:paraId="64366750" w14:textId="77777777" w:rsidR="003B2593" w:rsidRPr="00E01D6C" w:rsidRDefault="003B2593" w:rsidP="008670A6">
            <w:pPr>
              <w:shd w:val="clear" w:color="auto" w:fill="FFFFFF" w:themeFill="background1"/>
              <w:jc w:val="center"/>
              <w:rPr>
                <w:rFonts w:ascii="Arial" w:eastAsia="Arial" w:hAnsi="Arial" w:cs="Arial"/>
                <w:lang w:val="es-ES_tradnl"/>
              </w:rPr>
            </w:pPr>
            <w:r w:rsidRPr="00E01D6C">
              <w:rPr>
                <w:rFonts w:ascii="Arial" w:eastAsia="Arial" w:hAnsi="Arial" w:cs="Arial"/>
                <w:lang w:val="es-ES_tradnl"/>
              </w:rPr>
              <w:t>3.184</w:t>
            </w:r>
          </w:p>
        </w:tc>
      </w:tr>
    </w:tbl>
    <w:p w14:paraId="64E53DB2" w14:textId="77777777" w:rsidR="00254564" w:rsidRDefault="00254564" w:rsidP="0047400D">
      <w:pPr>
        <w:rPr>
          <w:rFonts w:ascii="Arial" w:eastAsiaTheme="minorEastAsia" w:hAnsi="Arial" w:cs="Arial"/>
          <w:color w:val="000000" w:themeColor="text1"/>
          <w:sz w:val="22"/>
          <w:szCs w:val="22"/>
        </w:rPr>
      </w:pPr>
    </w:p>
    <w:p w14:paraId="52F210AB" w14:textId="77777777" w:rsidR="00254564" w:rsidRDefault="00254564" w:rsidP="0047400D">
      <w:pPr>
        <w:rPr>
          <w:rFonts w:ascii="Arial" w:eastAsiaTheme="minorEastAsia" w:hAnsi="Arial" w:cs="Arial"/>
          <w:color w:val="000000" w:themeColor="text1"/>
          <w:sz w:val="22"/>
          <w:szCs w:val="22"/>
        </w:rPr>
      </w:pPr>
    </w:p>
    <w:p w14:paraId="168DB231" w14:textId="767E91AD" w:rsidR="0047400D" w:rsidRPr="002F720A" w:rsidRDefault="00254564" w:rsidP="002F720A">
      <w:pPr>
        <w:ind w:left="-567"/>
        <w:jc w:val="both"/>
        <w:rPr>
          <w:rFonts w:ascii="Arial" w:eastAsia="Arial" w:hAnsi="Arial" w:cs="Arial"/>
          <w:lang w:val="es-ES"/>
        </w:rPr>
      </w:pPr>
      <w:r w:rsidRPr="002F720A">
        <w:rPr>
          <w:rFonts w:ascii="Arial" w:eastAsia="Arial" w:hAnsi="Arial" w:cs="Arial"/>
          <w:lang w:val="es-ES"/>
        </w:rPr>
        <w:t>A continuación</w:t>
      </w:r>
      <w:r w:rsidR="00A75D8F">
        <w:rPr>
          <w:rFonts w:ascii="Arial" w:eastAsia="Arial" w:hAnsi="Arial" w:cs="Arial"/>
          <w:lang w:val="es-ES"/>
        </w:rPr>
        <w:t>,</w:t>
      </w:r>
      <w:r w:rsidRPr="002F720A">
        <w:rPr>
          <w:rFonts w:ascii="Arial" w:eastAsia="Arial" w:hAnsi="Arial" w:cs="Arial"/>
          <w:lang w:val="es-ES"/>
        </w:rPr>
        <w:t xml:space="preserve"> se presenta el nivel de avance del contrato 20190418</w:t>
      </w:r>
    </w:p>
    <w:p w14:paraId="5DD61B31" w14:textId="77777777" w:rsidR="00FB1143" w:rsidRDefault="00FB1143" w:rsidP="0047400D"/>
    <w:tbl>
      <w:tblPr>
        <w:tblStyle w:val="Tablaconcuadrcula"/>
        <w:tblW w:w="0" w:type="auto"/>
        <w:tblLook w:val="04A0" w:firstRow="1" w:lastRow="0" w:firstColumn="1" w:lastColumn="0" w:noHBand="0" w:noVBand="1"/>
      </w:tblPr>
      <w:tblGrid>
        <w:gridCol w:w="4414"/>
        <w:gridCol w:w="4414"/>
      </w:tblGrid>
      <w:tr w:rsidR="00FB1143" w14:paraId="00C7C910" w14:textId="77777777" w:rsidTr="00255BA3">
        <w:tc>
          <w:tcPr>
            <w:tcW w:w="4414" w:type="dxa"/>
          </w:tcPr>
          <w:p w14:paraId="4CFFC5C4" w14:textId="77777777" w:rsidR="00FB1143" w:rsidRDefault="00FB1143" w:rsidP="00255BA3">
            <w:pPr>
              <w:jc w:val="center"/>
              <w:rPr>
                <w:rFonts w:ascii="Arial" w:hAnsi="Arial" w:cs="Arial"/>
              </w:rPr>
            </w:pPr>
            <w:r>
              <w:rPr>
                <w:rFonts w:ascii="Arial" w:hAnsi="Arial" w:cs="Arial"/>
              </w:rPr>
              <w:t>Alcance Vigencia 2018</w:t>
            </w:r>
          </w:p>
        </w:tc>
        <w:tc>
          <w:tcPr>
            <w:tcW w:w="4414" w:type="dxa"/>
          </w:tcPr>
          <w:p w14:paraId="0B52C121" w14:textId="5104928F" w:rsidR="00FB1143" w:rsidRDefault="00FC16B7" w:rsidP="00FC16B7">
            <w:pPr>
              <w:jc w:val="center"/>
              <w:rPr>
                <w:rFonts w:ascii="Arial" w:hAnsi="Arial" w:cs="Arial"/>
              </w:rPr>
            </w:pPr>
            <w:r>
              <w:rPr>
                <w:rFonts w:ascii="Arial" w:hAnsi="Arial" w:cs="Arial"/>
              </w:rPr>
              <w:t>3184</w:t>
            </w:r>
            <w:r w:rsidR="00FB1143">
              <w:rPr>
                <w:rFonts w:ascii="Arial" w:hAnsi="Arial" w:cs="Arial"/>
              </w:rPr>
              <w:t xml:space="preserve"> SFVISR</w:t>
            </w:r>
          </w:p>
        </w:tc>
      </w:tr>
      <w:tr w:rsidR="00FB1143" w14:paraId="68519D44" w14:textId="77777777" w:rsidTr="00255BA3">
        <w:tc>
          <w:tcPr>
            <w:tcW w:w="4414" w:type="dxa"/>
          </w:tcPr>
          <w:p w14:paraId="0B791586" w14:textId="77777777" w:rsidR="00FB1143" w:rsidRDefault="00FB1143" w:rsidP="00255BA3">
            <w:pPr>
              <w:jc w:val="center"/>
              <w:rPr>
                <w:rFonts w:ascii="Arial" w:hAnsi="Arial" w:cs="Arial"/>
              </w:rPr>
            </w:pPr>
            <w:r>
              <w:rPr>
                <w:rFonts w:ascii="Arial" w:hAnsi="Arial" w:cs="Arial"/>
              </w:rPr>
              <w:t>Terminados</w:t>
            </w:r>
          </w:p>
        </w:tc>
        <w:tc>
          <w:tcPr>
            <w:tcW w:w="4414" w:type="dxa"/>
          </w:tcPr>
          <w:p w14:paraId="3F3B7DB0" w14:textId="33882E6A" w:rsidR="00FB1143" w:rsidRDefault="00FB1143" w:rsidP="00255BA3">
            <w:pPr>
              <w:jc w:val="center"/>
              <w:rPr>
                <w:rFonts w:ascii="Arial" w:hAnsi="Arial" w:cs="Arial"/>
              </w:rPr>
            </w:pPr>
            <w:r>
              <w:rPr>
                <w:rFonts w:ascii="Arial" w:hAnsi="Arial" w:cs="Arial"/>
              </w:rPr>
              <w:t>1604 SFVISR</w:t>
            </w:r>
          </w:p>
        </w:tc>
      </w:tr>
      <w:tr w:rsidR="00FB1143" w14:paraId="3B69A5A4" w14:textId="77777777" w:rsidTr="00255BA3">
        <w:tc>
          <w:tcPr>
            <w:tcW w:w="4414" w:type="dxa"/>
          </w:tcPr>
          <w:p w14:paraId="1E0B376F" w14:textId="77777777" w:rsidR="00FB1143" w:rsidRDefault="00FB1143" w:rsidP="00255BA3">
            <w:pPr>
              <w:jc w:val="center"/>
              <w:rPr>
                <w:rFonts w:ascii="Arial" w:hAnsi="Arial" w:cs="Arial"/>
              </w:rPr>
            </w:pPr>
            <w:r>
              <w:rPr>
                <w:rFonts w:ascii="Arial" w:hAnsi="Arial" w:cs="Arial"/>
              </w:rPr>
              <w:t>Pendiente Materializar</w:t>
            </w:r>
          </w:p>
        </w:tc>
        <w:tc>
          <w:tcPr>
            <w:tcW w:w="4414" w:type="dxa"/>
          </w:tcPr>
          <w:p w14:paraId="2F5A6F39" w14:textId="36B53AFA" w:rsidR="00FB1143" w:rsidRDefault="00FB1143" w:rsidP="00255BA3">
            <w:pPr>
              <w:jc w:val="center"/>
              <w:rPr>
                <w:rFonts w:ascii="Arial" w:hAnsi="Arial" w:cs="Arial"/>
              </w:rPr>
            </w:pPr>
            <w:r>
              <w:rPr>
                <w:rFonts w:ascii="Arial" w:hAnsi="Arial" w:cs="Arial"/>
              </w:rPr>
              <w:t>1580 SFVISR</w:t>
            </w:r>
          </w:p>
        </w:tc>
      </w:tr>
    </w:tbl>
    <w:p w14:paraId="74C0A028" w14:textId="77777777" w:rsidR="00A75D8F" w:rsidRDefault="00A75D8F" w:rsidP="0047400D">
      <w:pPr>
        <w:rPr>
          <w:rFonts w:ascii="Arial" w:eastAsiaTheme="minorEastAsia" w:hAnsi="Arial" w:cs="Arial"/>
          <w:noProof/>
          <w:color w:val="000000" w:themeColor="text1"/>
          <w:sz w:val="22"/>
          <w:szCs w:val="22"/>
          <w:lang w:val="es-ES_tradnl"/>
        </w:rPr>
      </w:pPr>
    </w:p>
    <w:p w14:paraId="0426A3CA" w14:textId="77777777" w:rsidR="00A75D8F" w:rsidRDefault="00A75D8F" w:rsidP="0047400D">
      <w:pPr>
        <w:rPr>
          <w:rFonts w:ascii="Arial" w:eastAsiaTheme="minorEastAsia" w:hAnsi="Arial" w:cs="Arial"/>
          <w:noProof/>
          <w:color w:val="000000" w:themeColor="text1"/>
          <w:sz w:val="22"/>
          <w:szCs w:val="22"/>
          <w:lang w:val="es-ES_tradnl"/>
        </w:rPr>
      </w:pPr>
    </w:p>
    <w:p w14:paraId="5A7DA6E1" w14:textId="1CCD1EE3" w:rsidR="00AE5A70" w:rsidRDefault="00AE5A70" w:rsidP="00A75D8F">
      <w:pPr>
        <w:ind w:left="-567"/>
        <w:jc w:val="both"/>
        <w:rPr>
          <w:rFonts w:ascii="Arial" w:eastAsiaTheme="minorEastAsia" w:hAnsi="Arial" w:cs="Arial"/>
          <w:noProof/>
          <w:color w:val="000000" w:themeColor="text1"/>
          <w:sz w:val="22"/>
          <w:szCs w:val="22"/>
          <w:lang w:val="es-ES_tradnl"/>
        </w:rPr>
      </w:pPr>
      <w:r w:rsidRPr="00A75D8F">
        <w:rPr>
          <w:rFonts w:ascii="Arial" w:eastAsia="Arial" w:hAnsi="Arial" w:cs="Arial"/>
          <w:lang w:val="es-ES"/>
        </w:rPr>
        <w:t xml:space="preserve">Se desagregará el estado en el que se encuentra </w:t>
      </w:r>
      <w:r w:rsidR="00430895" w:rsidRPr="00A75D8F">
        <w:rPr>
          <w:rFonts w:ascii="Arial" w:eastAsia="Arial" w:hAnsi="Arial" w:cs="Arial"/>
          <w:lang w:val="es-ES"/>
        </w:rPr>
        <w:t>el programa bajo el contrato 20190418</w:t>
      </w:r>
    </w:p>
    <w:p w14:paraId="0ECC3A4C" w14:textId="48DBE3F3" w:rsidR="00430895" w:rsidRDefault="00430895" w:rsidP="00A75D8F">
      <w:pPr>
        <w:jc w:val="center"/>
        <w:rPr>
          <w:lang w:eastAsia="es-CO"/>
        </w:rPr>
      </w:pPr>
      <w:r w:rsidRPr="00430895">
        <w:rPr>
          <w:noProof/>
          <w:lang w:eastAsia="es-CO"/>
        </w:rPr>
        <w:lastRenderedPageBreak/>
        <w:drawing>
          <wp:inline distT="0" distB="0" distL="0" distR="0" wp14:anchorId="57EDC273" wp14:editId="08AF3953">
            <wp:extent cx="4701540" cy="961619"/>
            <wp:effectExtent l="0" t="0" r="3810" b="0"/>
            <wp:docPr id="154145045"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45045" name="Imagen 1" descr="Texto&#10;&#10;El contenido generado por IA puede ser incorrecto."/>
                    <pic:cNvPicPr/>
                  </pic:nvPicPr>
                  <pic:blipFill rotWithShape="1">
                    <a:blip r:embed="rId26"/>
                    <a:srcRect b="76973"/>
                    <a:stretch>
                      <a:fillRect/>
                    </a:stretch>
                  </pic:blipFill>
                  <pic:spPr bwMode="auto">
                    <a:xfrm>
                      <a:off x="0" y="0"/>
                      <a:ext cx="4730300" cy="967501"/>
                    </a:xfrm>
                    <a:prstGeom prst="rect">
                      <a:avLst/>
                    </a:prstGeom>
                    <a:ln>
                      <a:noFill/>
                    </a:ln>
                    <a:extLst>
                      <a:ext uri="{53640926-AAD7-44D8-BBD7-CCE9431645EC}">
                        <a14:shadowObscured xmlns:a14="http://schemas.microsoft.com/office/drawing/2010/main"/>
                      </a:ext>
                    </a:extLst>
                  </pic:spPr>
                </pic:pic>
              </a:graphicData>
            </a:graphic>
          </wp:inline>
        </w:drawing>
      </w:r>
      <w:r w:rsidRPr="00430895">
        <w:rPr>
          <w:noProof/>
          <w:lang w:eastAsia="es-CO"/>
        </w:rPr>
        <w:drawing>
          <wp:inline distT="0" distB="0" distL="0" distR="0" wp14:anchorId="36C4CA41" wp14:editId="64AA6AF5">
            <wp:extent cx="4724400" cy="1117221"/>
            <wp:effectExtent l="0" t="0" r="0" b="6985"/>
            <wp:docPr id="1662886958"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886958" name="Imagen 1" descr="Texto&#10;&#10;El contenido generado por IA puede ser incorrecto."/>
                    <pic:cNvPicPr/>
                  </pic:nvPicPr>
                  <pic:blipFill rotWithShape="1">
                    <a:blip r:embed="rId26"/>
                    <a:srcRect t="73376"/>
                    <a:stretch>
                      <a:fillRect/>
                    </a:stretch>
                  </pic:blipFill>
                  <pic:spPr bwMode="auto">
                    <a:xfrm>
                      <a:off x="0" y="0"/>
                      <a:ext cx="4733329" cy="1119332"/>
                    </a:xfrm>
                    <a:prstGeom prst="rect">
                      <a:avLst/>
                    </a:prstGeom>
                    <a:ln>
                      <a:noFill/>
                    </a:ln>
                    <a:extLst>
                      <a:ext uri="{53640926-AAD7-44D8-BBD7-CCE9431645EC}">
                        <a14:shadowObscured xmlns:a14="http://schemas.microsoft.com/office/drawing/2010/main"/>
                      </a:ext>
                    </a:extLst>
                  </pic:spPr>
                </pic:pic>
              </a:graphicData>
            </a:graphic>
          </wp:inline>
        </w:drawing>
      </w:r>
    </w:p>
    <w:p w14:paraId="743F7131" w14:textId="77777777" w:rsidR="00254564" w:rsidRDefault="00254564" w:rsidP="0047400D">
      <w:pPr>
        <w:rPr>
          <w:lang w:eastAsia="es-CO"/>
        </w:rPr>
      </w:pPr>
    </w:p>
    <w:p w14:paraId="7F341922" w14:textId="1461991C" w:rsidR="003E1C8D" w:rsidRDefault="00297BF0" w:rsidP="003E1C8D">
      <w:pPr>
        <w:ind w:left="-567"/>
        <w:jc w:val="both"/>
        <w:rPr>
          <w:rFonts w:ascii="Arial" w:eastAsiaTheme="minorEastAsia" w:hAnsi="Arial" w:cs="Arial"/>
          <w:color w:val="000000" w:themeColor="text1"/>
          <w:sz w:val="22"/>
          <w:szCs w:val="22"/>
          <w:lang w:val="es-ES_tradnl"/>
        </w:rPr>
      </w:pPr>
      <w:r>
        <w:rPr>
          <w:rFonts w:ascii="Arial" w:eastAsiaTheme="minorEastAsia" w:hAnsi="Arial" w:cs="Arial"/>
          <w:color w:val="000000" w:themeColor="text1"/>
          <w:sz w:val="22"/>
          <w:szCs w:val="22"/>
          <w:lang w:val="es-ES_tradnl"/>
        </w:rPr>
        <w:t xml:space="preserve">En relación a este contrato, la Dirección de Gestión de Bienes Públicos Rurales registró las siguientes conclusiones: </w:t>
      </w:r>
    </w:p>
    <w:p w14:paraId="2B18DEBB" w14:textId="77777777" w:rsidR="00297BF0" w:rsidRDefault="00297BF0" w:rsidP="003E1C8D">
      <w:pPr>
        <w:ind w:left="-567"/>
        <w:jc w:val="both"/>
        <w:rPr>
          <w:rFonts w:ascii="Arial" w:eastAsiaTheme="minorEastAsia" w:hAnsi="Arial" w:cs="Arial"/>
          <w:color w:val="000000" w:themeColor="text1"/>
          <w:sz w:val="22"/>
          <w:szCs w:val="22"/>
          <w:lang w:val="es-ES_tradnl"/>
        </w:rPr>
      </w:pPr>
    </w:p>
    <w:p w14:paraId="5EDA4AFB" w14:textId="192F077C" w:rsidR="00297BF0" w:rsidRDefault="00973829" w:rsidP="00973829">
      <w:pPr>
        <w:ind w:left="-567"/>
        <w:jc w:val="both"/>
        <w:rPr>
          <w:rFonts w:ascii="Arial" w:eastAsiaTheme="minorEastAsia" w:hAnsi="Arial" w:cs="Arial"/>
          <w:color w:val="000000" w:themeColor="text1"/>
          <w:sz w:val="22"/>
          <w:szCs w:val="22"/>
          <w:lang w:val="es-MX"/>
        </w:rPr>
      </w:pPr>
      <w:r w:rsidRPr="00973829">
        <w:rPr>
          <w:rFonts w:ascii="Arial" w:eastAsiaTheme="minorEastAsia" w:hAnsi="Arial" w:cs="Arial"/>
          <w:color w:val="000000" w:themeColor="text1"/>
          <w:sz w:val="22"/>
          <w:szCs w:val="22"/>
          <w:lang w:val="es-MX"/>
        </w:rPr>
        <w:t>•</w:t>
      </w:r>
      <w:r>
        <w:rPr>
          <w:rFonts w:ascii="Arial" w:eastAsiaTheme="minorEastAsia" w:hAnsi="Arial" w:cs="Arial"/>
          <w:color w:val="000000" w:themeColor="text1"/>
          <w:sz w:val="22"/>
          <w:szCs w:val="22"/>
          <w:lang w:val="es-MX"/>
        </w:rPr>
        <w:t xml:space="preserve"> </w:t>
      </w:r>
      <w:r w:rsidRPr="00973829">
        <w:rPr>
          <w:rFonts w:ascii="Arial" w:eastAsiaTheme="minorEastAsia" w:hAnsi="Arial" w:cs="Arial"/>
          <w:color w:val="000000" w:themeColor="text1"/>
          <w:sz w:val="22"/>
          <w:szCs w:val="22"/>
          <w:lang w:val="es-MX"/>
        </w:rPr>
        <w:t>A julio de 2025 se han materializado 1.139 SFVISR del universo general de 7.081* se han pagado recursos a la fiducia por valor de $54.383.105.425 y se adeudan $153.251.880.765,41.</w:t>
      </w:r>
    </w:p>
    <w:p w14:paraId="55D778B7" w14:textId="77777777" w:rsidR="00973829" w:rsidRDefault="00973829" w:rsidP="00973829">
      <w:pPr>
        <w:ind w:left="-567"/>
        <w:jc w:val="both"/>
        <w:rPr>
          <w:rFonts w:ascii="Arial" w:eastAsiaTheme="minorEastAsia" w:hAnsi="Arial" w:cs="Arial"/>
          <w:color w:val="000000" w:themeColor="text1"/>
          <w:sz w:val="22"/>
          <w:szCs w:val="22"/>
          <w:lang w:val="es-MX"/>
        </w:rPr>
      </w:pPr>
    </w:p>
    <w:p w14:paraId="1CB8D145" w14:textId="77777777" w:rsidR="00EB0377" w:rsidRDefault="00973829" w:rsidP="00EB0377">
      <w:pPr>
        <w:ind w:left="-567"/>
        <w:jc w:val="both"/>
        <w:rPr>
          <w:rFonts w:ascii="Arial" w:eastAsiaTheme="minorEastAsia" w:hAnsi="Arial" w:cs="Arial"/>
          <w:color w:val="000000" w:themeColor="text1"/>
          <w:sz w:val="22"/>
          <w:szCs w:val="22"/>
          <w:lang w:val="es-MX"/>
        </w:rPr>
      </w:pPr>
      <w:r w:rsidRPr="00973829">
        <w:rPr>
          <w:rFonts w:ascii="Arial" w:eastAsiaTheme="minorEastAsia" w:hAnsi="Arial" w:cs="Arial"/>
          <w:color w:val="000000" w:themeColor="text1"/>
          <w:sz w:val="22"/>
          <w:szCs w:val="22"/>
          <w:lang w:val="es-MX"/>
        </w:rPr>
        <w:t>•</w:t>
      </w:r>
      <w:r w:rsidR="005F79D6">
        <w:rPr>
          <w:rFonts w:ascii="Arial" w:eastAsiaTheme="minorEastAsia" w:hAnsi="Arial" w:cs="Arial"/>
          <w:color w:val="000000" w:themeColor="text1"/>
          <w:sz w:val="22"/>
          <w:szCs w:val="22"/>
          <w:lang w:val="es-MX"/>
        </w:rPr>
        <w:t xml:space="preserve"> </w:t>
      </w:r>
      <w:r w:rsidRPr="00973829">
        <w:rPr>
          <w:rFonts w:ascii="Arial" w:eastAsiaTheme="minorEastAsia" w:hAnsi="Arial" w:cs="Arial"/>
          <w:color w:val="000000" w:themeColor="text1"/>
          <w:sz w:val="22"/>
          <w:szCs w:val="22"/>
          <w:lang w:val="es-MX"/>
        </w:rPr>
        <w:t>Restricción de recursos / bajo saldo operativo del fideicomiso.</w:t>
      </w:r>
    </w:p>
    <w:p w14:paraId="50A3F048" w14:textId="77777777" w:rsidR="00EB0377" w:rsidRDefault="00EB0377" w:rsidP="00EB0377">
      <w:pPr>
        <w:ind w:left="-567"/>
        <w:jc w:val="both"/>
        <w:rPr>
          <w:rFonts w:ascii="Arial" w:eastAsiaTheme="minorEastAsia" w:hAnsi="Arial" w:cs="Arial"/>
          <w:color w:val="000000" w:themeColor="text1"/>
          <w:sz w:val="22"/>
          <w:szCs w:val="22"/>
          <w:lang w:val="es-MX"/>
        </w:rPr>
      </w:pPr>
    </w:p>
    <w:p w14:paraId="08FF5486" w14:textId="77777777" w:rsidR="00EB0377" w:rsidRDefault="00EB0377" w:rsidP="00EB0377">
      <w:pPr>
        <w:ind w:left="-567"/>
        <w:jc w:val="both"/>
        <w:rPr>
          <w:rFonts w:ascii="Arial" w:eastAsiaTheme="minorEastAsia" w:hAnsi="Arial" w:cs="Arial"/>
          <w:color w:val="000000" w:themeColor="text1"/>
          <w:sz w:val="22"/>
          <w:szCs w:val="22"/>
          <w:lang w:val="es-MX"/>
        </w:rPr>
      </w:pPr>
      <w:r w:rsidRPr="00973829">
        <w:rPr>
          <w:rFonts w:ascii="Arial" w:eastAsiaTheme="minorEastAsia" w:hAnsi="Arial" w:cs="Arial"/>
          <w:color w:val="000000" w:themeColor="text1"/>
          <w:sz w:val="22"/>
          <w:szCs w:val="22"/>
          <w:lang w:val="es-MX"/>
        </w:rPr>
        <w:t>•</w:t>
      </w:r>
      <w:r>
        <w:rPr>
          <w:rFonts w:ascii="Arial" w:eastAsiaTheme="minorEastAsia" w:hAnsi="Arial" w:cs="Arial"/>
          <w:color w:val="000000" w:themeColor="text1"/>
          <w:sz w:val="22"/>
          <w:szCs w:val="22"/>
          <w:lang w:val="es-MX"/>
        </w:rPr>
        <w:t xml:space="preserve"> </w:t>
      </w:r>
      <w:r w:rsidRPr="00EB0377">
        <w:rPr>
          <w:rFonts w:ascii="Arial" w:eastAsiaTheme="minorEastAsia" w:hAnsi="Arial" w:cs="Arial"/>
          <w:color w:val="000000" w:themeColor="text1"/>
          <w:sz w:val="22"/>
          <w:szCs w:val="22"/>
          <w:lang w:val="es-MX"/>
        </w:rPr>
        <w:t xml:space="preserve">Baja Ejecución respecto del alcance vigente </w:t>
      </w:r>
    </w:p>
    <w:p w14:paraId="0F3162D7" w14:textId="77777777" w:rsidR="00EB0377" w:rsidRDefault="00EB0377" w:rsidP="00EB0377">
      <w:pPr>
        <w:ind w:left="-567"/>
        <w:jc w:val="both"/>
        <w:rPr>
          <w:rFonts w:ascii="Arial" w:eastAsiaTheme="minorEastAsia" w:hAnsi="Arial" w:cs="Arial"/>
          <w:color w:val="000000" w:themeColor="text1"/>
          <w:sz w:val="22"/>
          <w:szCs w:val="22"/>
          <w:lang w:val="es-MX"/>
        </w:rPr>
      </w:pPr>
    </w:p>
    <w:p w14:paraId="5F0F27C2" w14:textId="77777777" w:rsidR="00577D0C" w:rsidRDefault="00577D0C" w:rsidP="00577D0C">
      <w:pPr>
        <w:ind w:left="-567"/>
        <w:jc w:val="both"/>
        <w:rPr>
          <w:rFonts w:ascii="Arial" w:eastAsiaTheme="minorEastAsia" w:hAnsi="Arial" w:cs="Arial"/>
          <w:color w:val="000000" w:themeColor="text1"/>
          <w:sz w:val="22"/>
          <w:szCs w:val="22"/>
          <w:lang w:val="es-MX"/>
        </w:rPr>
      </w:pPr>
      <w:r w:rsidRPr="00973829">
        <w:rPr>
          <w:rFonts w:ascii="Arial" w:eastAsiaTheme="minorEastAsia" w:hAnsi="Arial" w:cs="Arial"/>
          <w:color w:val="000000" w:themeColor="text1"/>
          <w:sz w:val="22"/>
          <w:szCs w:val="22"/>
          <w:lang w:val="es-MX"/>
        </w:rPr>
        <w:t>•</w:t>
      </w:r>
      <w:r>
        <w:rPr>
          <w:rFonts w:ascii="Arial" w:eastAsiaTheme="minorEastAsia" w:hAnsi="Arial" w:cs="Arial"/>
          <w:color w:val="000000" w:themeColor="text1"/>
          <w:sz w:val="22"/>
          <w:szCs w:val="22"/>
          <w:lang w:val="es-MX"/>
        </w:rPr>
        <w:t xml:space="preserve"> </w:t>
      </w:r>
      <w:r w:rsidR="00EB0377" w:rsidRPr="00EB0377">
        <w:rPr>
          <w:rFonts w:ascii="Arial" w:eastAsiaTheme="minorEastAsia" w:hAnsi="Arial" w:cs="Arial"/>
          <w:color w:val="000000" w:themeColor="text1"/>
          <w:sz w:val="22"/>
          <w:szCs w:val="22"/>
          <w:lang w:val="es-MX"/>
        </w:rPr>
        <w:t xml:space="preserve">Reducción formal del alcance sin ajuste proporcional pleno </w:t>
      </w:r>
    </w:p>
    <w:p w14:paraId="20C6D0AC" w14:textId="77777777" w:rsidR="00577D0C" w:rsidRDefault="00577D0C" w:rsidP="00577D0C">
      <w:pPr>
        <w:ind w:left="-567"/>
        <w:jc w:val="both"/>
        <w:rPr>
          <w:rFonts w:ascii="Arial" w:eastAsiaTheme="minorEastAsia" w:hAnsi="Arial" w:cs="Arial"/>
          <w:color w:val="000000" w:themeColor="text1"/>
          <w:sz w:val="22"/>
          <w:szCs w:val="22"/>
          <w:lang w:val="es-MX"/>
        </w:rPr>
      </w:pPr>
    </w:p>
    <w:p w14:paraId="5400FDBE" w14:textId="0CC9D7EA" w:rsidR="00577D0C" w:rsidRDefault="00577D0C" w:rsidP="00577D0C">
      <w:pPr>
        <w:ind w:left="-567"/>
        <w:jc w:val="both"/>
        <w:rPr>
          <w:rFonts w:ascii="Arial" w:eastAsiaTheme="minorEastAsia" w:hAnsi="Arial" w:cs="Arial"/>
          <w:color w:val="000000" w:themeColor="text1"/>
          <w:sz w:val="22"/>
          <w:szCs w:val="22"/>
          <w:lang w:val="es-MX"/>
        </w:rPr>
      </w:pPr>
      <w:r w:rsidRPr="00973829">
        <w:rPr>
          <w:rFonts w:ascii="Arial" w:eastAsiaTheme="minorEastAsia" w:hAnsi="Arial" w:cs="Arial"/>
          <w:color w:val="000000" w:themeColor="text1"/>
          <w:sz w:val="22"/>
          <w:szCs w:val="22"/>
          <w:lang w:val="es-MX"/>
        </w:rPr>
        <w:t>•</w:t>
      </w:r>
      <w:r>
        <w:rPr>
          <w:rFonts w:ascii="Arial" w:eastAsiaTheme="minorEastAsia" w:hAnsi="Arial" w:cs="Arial"/>
          <w:color w:val="000000" w:themeColor="text1"/>
          <w:sz w:val="22"/>
          <w:szCs w:val="22"/>
          <w:lang w:val="es-MX"/>
        </w:rPr>
        <w:t xml:space="preserve"> </w:t>
      </w:r>
      <w:r w:rsidRPr="00577D0C">
        <w:rPr>
          <w:rFonts w:ascii="Arial" w:eastAsiaTheme="minorEastAsia" w:hAnsi="Arial" w:cs="Arial"/>
          <w:color w:val="000000" w:themeColor="text1"/>
          <w:sz w:val="22"/>
          <w:szCs w:val="22"/>
          <w:lang w:val="es-MX"/>
        </w:rPr>
        <w:t xml:space="preserve">Existencia de cuentas por cobrar y riesgos asociados </w:t>
      </w:r>
    </w:p>
    <w:p w14:paraId="47920E5D" w14:textId="4A0B4956" w:rsidR="000D2A55" w:rsidRDefault="009327CB" w:rsidP="009327CB">
      <w:pPr>
        <w:ind w:left="-567"/>
        <w:jc w:val="both"/>
        <w:rPr>
          <w:rFonts w:ascii="Arial" w:eastAsiaTheme="minorEastAsia" w:hAnsi="Arial" w:cs="Arial"/>
          <w:color w:val="000000" w:themeColor="text1"/>
          <w:sz w:val="22"/>
          <w:szCs w:val="22"/>
          <w:lang w:val="es-MX"/>
        </w:rPr>
      </w:pPr>
      <w:r w:rsidRPr="00973829">
        <w:rPr>
          <w:rFonts w:ascii="Arial" w:eastAsiaTheme="minorEastAsia" w:hAnsi="Arial" w:cs="Arial"/>
          <w:color w:val="000000" w:themeColor="text1"/>
          <w:sz w:val="22"/>
          <w:szCs w:val="22"/>
          <w:lang w:val="es-MX"/>
        </w:rPr>
        <w:t>•</w:t>
      </w:r>
      <w:r>
        <w:rPr>
          <w:rFonts w:ascii="Arial" w:eastAsiaTheme="minorEastAsia" w:hAnsi="Arial" w:cs="Arial"/>
          <w:color w:val="000000" w:themeColor="text1"/>
          <w:sz w:val="22"/>
          <w:szCs w:val="22"/>
          <w:lang w:val="es-MX"/>
        </w:rPr>
        <w:t xml:space="preserve">  </w:t>
      </w:r>
      <w:r w:rsidRPr="009327CB">
        <w:rPr>
          <w:rFonts w:ascii="Arial" w:eastAsiaTheme="minorEastAsia" w:hAnsi="Arial" w:cs="Arial"/>
          <w:color w:val="000000" w:themeColor="text1"/>
          <w:sz w:val="22"/>
          <w:szCs w:val="22"/>
          <w:lang w:val="es-MX"/>
        </w:rPr>
        <w:t>Relación recursos desembolsados vs. valor total y obligaciones pendientes</w:t>
      </w:r>
    </w:p>
    <w:p w14:paraId="36C29413" w14:textId="77777777" w:rsidR="009327CB" w:rsidRDefault="009327CB" w:rsidP="009327CB">
      <w:pPr>
        <w:ind w:left="-567"/>
        <w:jc w:val="both"/>
        <w:rPr>
          <w:rFonts w:ascii="Arial" w:eastAsiaTheme="minorEastAsia" w:hAnsi="Arial" w:cs="Arial"/>
          <w:color w:val="000000" w:themeColor="text1"/>
          <w:sz w:val="22"/>
          <w:szCs w:val="22"/>
          <w:lang w:val="es-MX"/>
        </w:rPr>
      </w:pPr>
    </w:p>
    <w:p w14:paraId="54A9BBD6" w14:textId="77777777" w:rsidR="009327CB" w:rsidRDefault="009327CB" w:rsidP="009327CB">
      <w:pPr>
        <w:ind w:left="-567"/>
        <w:jc w:val="both"/>
        <w:rPr>
          <w:rFonts w:ascii="Arial" w:eastAsiaTheme="minorEastAsia" w:hAnsi="Arial" w:cs="Arial"/>
          <w:color w:val="000000" w:themeColor="text1"/>
          <w:sz w:val="22"/>
          <w:szCs w:val="22"/>
          <w:lang w:val="es-MX"/>
        </w:rPr>
      </w:pPr>
    </w:p>
    <w:p w14:paraId="72029F4D" w14:textId="6FAE5E21" w:rsidR="009327CB" w:rsidRDefault="009327CB" w:rsidP="009327CB">
      <w:pPr>
        <w:ind w:left="-567"/>
        <w:jc w:val="both"/>
        <w:rPr>
          <w:rFonts w:ascii="Arial" w:eastAsiaTheme="minorEastAsia" w:hAnsi="Arial" w:cs="Arial"/>
          <w:color w:val="000000" w:themeColor="text1"/>
          <w:sz w:val="22"/>
          <w:szCs w:val="22"/>
          <w:lang w:val="es-MX"/>
        </w:rPr>
      </w:pPr>
      <w:r>
        <w:rPr>
          <w:rFonts w:ascii="Arial" w:eastAsiaTheme="minorEastAsia" w:hAnsi="Arial" w:cs="Arial"/>
          <w:color w:val="000000" w:themeColor="text1"/>
          <w:sz w:val="22"/>
          <w:szCs w:val="22"/>
          <w:lang w:val="es-MX"/>
        </w:rPr>
        <w:t xml:space="preserve">En consideración a lo expuesto, la recomendación final es: </w:t>
      </w:r>
    </w:p>
    <w:p w14:paraId="2848BC2C" w14:textId="77777777" w:rsidR="009327CB" w:rsidRDefault="009327CB" w:rsidP="009327CB">
      <w:pPr>
        <w:ind w:left="-567"/>
        <w:jc w:val="both"/>
        <w:rPr>
          <w:rFonts w:ascii="Arial" w:eastAsiaTheme="minorEastAsia" w:hAnsi="Arial" w:cs="Arial"/>
          <w:color w:val="000000" w:themeColor="text1"/>
          <w:sz w:val="22"/>
          <w:szCs w:val="22"/>
          <w:lang w:val="es-MX"/>
        </w:rPr>
      </w:pPr>
    </w:p>
    <w:p w14:paraId="3F23B920" w14:textId="77777777" w:rsidR="009327CB" w:rsidRPr="009327CB" w:rsidRDefault="009327CB" w:rsidP="009327CB">
      <w:pPr>
        <w:ind w:left="-567"/>
        <w:jc w:val="both"/>
        <w:rPr>
          <w:rFonts w:ascii="Arial" w:eastAsiaTheme="minorEastAsia" w:hAnsi="Arial" w:cs="Arial"/>
          <w:color w:val="000000" w:themeColor="text1"/>
          <w:sz w:val="22"/>
          <w:szCs w:val="22"/>
          <w:lang w:val="es-MX"/>
        </w:rPr>
      </w:pPr>
      <w:r w:rsidRPr="009327CB">
        <w:rPr>
          <w:rFonts w:ascii="Arial" w:eastAsiaTheme="minorEastAsia" w:hAnsi="Arial" w:cs="Arial"/>
          <w:color w:val="000000" w:themeColor="text1"/>
          <w:sz w:val="22"/>
          <w:szCs w:val="22"/>
          <w:lang w:val="es-MX"/>
        </w:rPr>
        <w:t xml:space="preserve">Por las razones anteriormente expuestas, se recomienda a las directivas del MADR </w:t>
      </w:r>
      <w:r w:rsidRPr="009327CB">
        <w:rPr>
          <w:rFonts w:ascii="Arial" w:eastAsiaTheme="minorEastAsia" w:hAnsi="Arial" w:cs="Arial"/>
          <w:b/>
          <w:bCs/>
          <w:color w:val="000000" w:themeColor="text1"/>
          <w:sz w:val="22"/>
          <w:szCs w:val="22"/>
          <w:lang w:val="es-MX"/>
        </w:rPr>
        <w:t xml:space="preserve">NO PRORROGAR </w:t>
      </w:r>
      <w:r w:rsidRPr="009327CB">
        <w:rPr>
          <w:rFonts w:ascii="Arial" w:eastAsiaTheme="minorEastAsia" w:hAnsi="Arial" w:cs="Arial"/>
          <w:color w:val="000000" w:themeColor="text1"/>
          <w:sz w:val="22"/>
          <w:szCs w:val="22"/>
          <w:lang w:val="es-MX"/>
        </w:rPr>
        <w:t xml:space="preserve">el Contrato de Fiducia Mercantil de Administración y Pagos 20190418 e iniciar su </w:t>
      </w:r>
      <w:r w:rsidRPr="009327CB">
        <w:rPr>
          <w:rFonts w:ascii="Arial" w:eastAsiaTheme="minorEastAsia" w:hAnsi="Arial" w:cs="Arial"/>
          <w:b/>
          <w:bCs/>
          <w:color w:val="000000" w:themeColor="text1"/>
          <w:sz w:val="22"/>
          <w:szCs w:val="22"/>
          <w:lang w:val="es-MX"/>
        </w:rPr>
        <w:t xml:space="preserve">cierre y liquidación. </w:t>
      </w:r>
    </w:p>
    <w:p w14:paraId="5881E9AC" w14:textId="77777777" w:rsidR="009327CB" w:rsidRPr="009327CB" w:rsidRDefault="009327CB" w:rsidP="009327CB">
      <w:pPr>
        <w:ind w:left="-567"/>
        <w:jc w:val="both"/>
        <w:rPr>
          <w:rFonts w:ascii="Arial" w:eastAsiaTheme="minorEastAsia" w:hAnsi="Arial" w:cs="Arial"/>
          <w:color w:val="000000" w:themeColor="text1"/>
          <w:sz w:val="22"/>
          <w:szCs w:val="22"/>
          <w:lang w:val="es-MX"/>
        </w:rPr>
      </w:pPr>
      <w:r w:rsidRPr="009327CB">
        <w:rPr>
          <w:rFonts w:ascii="Arial" w:eastAsiaTheme="minorEastAsia" w:hAnsi="Arial" w:cs="Arial"/>
          <w:color w:val="000000" w:themeColor="text1"/>
          <w:sz w:val="22"/>
          <w:szCs w:val="22"/>
          <w:lang w:val="es-MX"/>
        </w:rPr>
        <w:t xml:space="preserve">Considerando, además, que el contrato ya acumula </w:t>
      </w:r>
      <w:r w:rsidRPr="009327CB">
        <w:rPr>
          <w:rFonts w:ascii="Arial" w:eastAsiaTheme="minorEastAsia" w:hAnsi="Arial" w:cs="Arial"/>
          <w:b/>
          <w:bCs/>
          <w:color w:val="000000" w:themeColor="text1"/>
          <w:sz w:val="22"/>
          <w:szCs w:val="22"/>
          <w:lang w:val="es-MX"/>
        </w:rPr>
        <w:t xml:space="preserve">múltiples prórrogas </w:t>
      </w:r>
      <w:r w:rsidRPr="009327CB">
        <w:rPr>
          <w:rFonts w:ascii="Arial" w:eastAsiaTheme="minorEastAsia" w:hAnsi="Arial" w:cs="Arial"/>
          <w:color w:val="000000" w:themeColor="text1"/>
          <w:sz w:val="22"/>
          <w:szCs w:val="22"/>
          <w:lang w:val="es-MX"/>
        </w:rPr>
        <w:t xml:space="preserve">con vigencia extendida </w:t>
      </w:r>
      <w:r w:rsidRPr="009327CB">
        <w:rPr>
          <w:rFonts w:ascii="Arial" w:eastAsiaTheme="minorEastAsia" w:hAnsi="Arial" w:cs="Arial"/>
          <w:b/>
          <w:bCs/>
          <w:color w:val="000000" w:themeColor="text1"/>
          <w:sz w:val="22"/>
          <w:szCs w:val="22"/>
          <w:lang w:val="es-MX"/>
        </w:rPr>
        <w:t>hasta el 1 de diciembre de 2025</w:t>
      </w:r>
      <w:r w:rsidRPr="009327CB">
        <w:rPr>
          <w:rFonts w:ascii="Arial" w:eastAsiaTheme="minorEastAsia" w:hAnsi="Arial" w:cs="Arial"/>
          <w:color w:val="000000" w:themeColor="text1"/>
          <w:sz w:val="22"/>
          <w:szCs w:val="22"/>
          <w:lang w:val="es-MX"/>
        </w:rPr>
        <w:t xml:space="preserve">, </w:t>
      </w:r>
      <w:r w:rsidRPr="009327CB">
        <w:rPr>
          <w:rFonts w:ascii="Arial" w:eastAsiaTheme="minorEastAsia" w:hAnsi="Arial" w:cs="Arial"/>
          <w:b/>
          <w:bCs/>
          <w:color w:val="000000" w:themeColor="text1"/>
          <w:sz w:val="22"/>
          <w:szCs w:val="22"/>
          <w:lang w:val="es-MX"/>
        </w:rPr>
        <w:t xml:space="preserve">no es procedente </w:t>
      </w:r>
      <w:r w:rsidRPr="009327CB">
        <w:rPr>
          <w:rFonts w:ascii="Arial" w:eastAsiaTheme="minorEastAsia" w:hAnsi="Arial" w:cs="Arial"/>
          <w:color w:val="000000" w:themeColor="text1"/>
          <w:sz w:val="22"/>
          <w:szCs w:val="22"/>
          <w:lang w:val="es-MX"/>
        </w:rPr>
        <w:t xml:space="preserve">una nueva prórroga y se recomienda avanzar en la </w:t>
      </w:r>
      <w:r w:rsidRPr="009327CB">
        <w:rPr>
          <w:rFonts w:ascii="Arial" w:eastAsiaTheme="minorEastAsia" w:hAnsi="Arial" w:cs="Arial"/>
          <w:b/>
          <w:bCs/>
          <w:color w:val="000000" w:themeColor="text1"/>
          <w:sz w:val="22"/>
          <w:szCs w:val="22"/>
          <w:lang w:val="es-MX"/>
        </w:rPr>
        <w:t xml:space="preserve">liquidación </w:t>
      </w:r>
      <w:r w:rsidRPr="009327CB">
        <w:rPr>
          <w:rFonts w:ascii="Arial" w:eastAsiaTheme="minorEastAsia" w:hAnsi="Arial" w:cs="Arial"/>
          <w:color w:val="000000" w:themeColor="text1"/>
          <w:sz w:val="22"/>
          <w:szCs w:val="22"/>
          <w:lang w:val="es-MX"/>
        </w:rPr>
        <w:t xml:space="preserve">con conciliación técnico-financiera y plan de recuperación de saldos. </w:t>
      </w:r>
    </w:p>
    <w:p w14:paraId="6985D4DE" w14:textId="0AEE5EA7" w:rsidR="009327CB" w:rsidRDefault="009327CB" w:rsidP="009327CB">
      <w:pPr>
        <w:ind w:left="-567"/>
        <w:jc w:val="both"/>
        <w:rPr>
          <w:rFonts w:ascii="Arial" w:eastAsiaTheme="minorEastAsia" w:hAnsi="Arial" w:cs="Arial"/>
          <w:color w:val="000000" w:themeColor="text1"/>
          <w:sz w:val="22"/>
          <w:szCs w:val="22"/>
          <w:lang w:val="es-MX"/>
        </w:rPr>
      </w:pPr>
      <w:r w:rsidRPr="009327CB">
        <w:rPr>
          <w:rFonts w:ascii="Arial" w:eastAsiaTheme="minorEastAsia" w:hAnsi="Arial" w:cs="Arial"/>
          <w:color w:val="000000" w:themeColor="text1"/>
          <w:sz w:val="22"/>
          <w:szCs w:val="22"/>
          <w:lang w:val="es-MX"/>
        </w:rPr>
        <w:t>De igual manera se recomienda iniciar la planificación de la liquidación del convenio, con los pasos adecuados para poder resolver los procesos en los tiempos y calidades contractuales adecuadas</w:t>
      </w:r>
    </w:p>
    <w:p w14:paraId="197246BC" w14:textId="77777777" w:rsidR="009327CB" w:rsidRDefault="009327CB" w:rsidP="009327CB">
      <w:pPr>
        <w:ind w:left="-567"/>
        <w:jc w:val="both"/>
        <w:rPr>
          <w:rFonts w:ascii="Arial" w:eastAsiaTheme="minorEastAsia" w:hAnsi="Arial" w:cs="Arial"/>
          <w:color w:val="000000" w:themeColor="text1"/>
          <w:sz w:val="22"/>
          <w:szCs w:val="22"/>
          <w:lang w:val="es-MX"/>
        </w:rPr>
      </w:pPr>
    </w:p>
    <w:p w14:paraId="6421F744" w14:textId="77777777" w:rsidR="00997F4F" w:rsidRDefault="0063026F" w:rsidP="009327CB">
      <w:pPr>
        <w:ind w:left="-567"/>
        <w:jc w:val="both"/>
        <w:rPr>
          <w:rFonts w:ascii="Arial" w:eastAsiaTheme="minorEastAsia" w:hAnsi="Arial" w:cs="Arial"/>
          <w:color w:val="000000" w:themeColor="text1"/>
          <w:sz w:val="22"/>
          <w:szCs w:val="22"/>
          <w:lang w:val="es-MX"/>
        </w:rPr>
      </w:pPr>
      <w:r>
        <w:rPr>
          <w:rFonts w:ascii="Arial" w:eastAsiaTheme="minorEastAsia" w:hAnsi="Arial" w:cs="Arial"/>
          <w:color w:val="000000" w:themeColor="text1"/>
          <w:sz w:val="22"/>
          <w:szCs w:val="22"/>
          <w:lang w:val="es-MX"/>
        </w:rPr>
        <w:t>Sin perjuicio de lo expuesto se aprobó el pago de unas facturas, las cuales a la fecha de elaboración del informe se están tramitando</w:t>
      </w:r>
      <w:r w:rsidR="00921B4F">
        <w:rPr>
          <w:rFonts w:ascii="Arial" w:eastAsiaTheme="minorEastAsia" w:hAnsi="Arial" w:cs="Arial"/>
          <w:color w:val="000000" w:themeColor="text1"/>
          <w:sz w:val="22"/>
          <w:szCs w:val="22"/>
          <w:lang w:val="es-MX"/>
        </w:rPr>
        <w:t xml:space="preserve"> ante la </w:t>
      </w:r>
      <w:proofErr w:type="gramStart"/>
      <w:r w:rsidR="00921B4F">
        <w:rPr>
          <w:rFonts w:ascii="Arial" w:eastAsiaTheme="minorEastAsia" w:hAnsi="Arial" w:cs="Arial"/>
          <w:color w:val="000000" w:themeColor="text1"/>
          <w:sz w:val="22"/>
          <w:szCs w:val="22"/>
          <w:lang w:val="es-MX"/>
        </w:rPr>
        <w:t>Secretaria General</w:t>
      </w:r>
      <w:proofErr w:type="gramEnd"/>
      <w:r w:rsidR="00921B4F">
        <w:rPr>
          <w:rFonts w:ascii="Arial" w:eastAsiaTheme="minorEastAsia" w:hAnsi="Arial" w:cs="Arial"/>
          <w:color w:val="000000" w:themeColor="text1"/>
          <w:sz w:val="22"/>
          <w:szCs w:val="22"/>
          <w:lang w:val="es-MX"/>
        </w:rPr>
        <w:t xml:space="preserve"> bajo el concepto de pago</w:t>
      </w:r>
      <w:r w:rsidR="00997F4F">
        <w:rPr>
          <w:rFonts w:ascii="Arial" w:eastAsiaTheme="minorEastAsia" w:hAnsi="Arial" w:cs="Arial"/>
          <w:color w:val="000000" w:themeColor="text1"/>
          <w:sz w:val="22"/>
          <w:szCs w:val="22"/>
          <w:lang w:val="es-MX"/>
        </w:rPr>
        <w:t xml:space="preserve">s exigibles-vigencias expiradas. </w:t>
      </w:r>
    </w:p>
    <w:p w14:paraId="5D54E560" w14:textId="77777777" w:rsidR="00997F4F" w:rsidRDefault="00997F4F" w:rsidP="009327CB">
      <w:pPr>
        <w:ind w:left="-567"/>
        <w:jc w:val="both"/>
        <w:rPr>
          <w:rFonts w:ascii="Arial" w:eastAsiaTheme="minorEastAsia" w:hAnsi="Arial" w:cs="Arial"/>
          <w:color w:val="000000" w:themeColor="text1"/>
          <w:sz w:val="22"/>
          <w:szCs w:val="22"/>
          <w:lang w:val="es-MX"/>
        </w:rPr>
      </w:pPr>
    </w:p>
    <w:p w14:paraId="2868B9C0" w14:textId="4CD9C110" w:rsidR="003D3EA8" w:rsidRDefault="00F80D10" w:rsidP="00F80D10">
      <w:pPr>
        <w:ind w:left="-567"/>
        <w:jc w:val="both"/>
        <w:rPr>
          <w:rFonts w:ascii="Arial" w:eastAsiaTheme="minorEastAsia" w:hAnsi="Arial" w:cs="Arial"/>
          <w:color w:val="000000" w:themeColor="text1"/>
          <w:sz w:val="22"/>
          <w:szCs w:val="22"/>
          <w:lang w:val="es-MX"/>
        </w:rPr>
      </w:pPr>
      <w:r>
        <w:rPr>
          <w:rFonts w:ascii="Arial" w:eastAsiaTheme="minorEastAsia" w:hAnsi="Arial" w:cs="Arial"/>
          <w:color w:val="000000" w:themeColor="text1"/>
          <w:sz w:val="22"/>
          <w:szCs w:val="22"/>
          <w:lang w:val="es-MX"/>
        </w:rPr>
        <w:lastRenderedPageBreak/>
        <w:t xml:space="preserve">Así entonces la </w:t>
      </w:r>
      <w:proofErr w:type="gramStart"/>
      <w:r>
        <w:rPr>
          <w:rFonts w:ascii="Arial" w:eastAsiaTheme="minorEastAsia" w:hAnsi="Arial" w:cs="Arial"/>
          <w:color w:val="000000" w:themeColor="text1"/>
          <w:sz w:val="22"/>
          <w:szCs w:val="22"/>
          <w:lang w:val="es-MX"/>
        </w:rPr>
        <w:t>Ministra</w:t>
      </w:r>
      <w:proofErr w:type="gramEnd"/>
      <w:r>
        <w:rPr>
          <w:rFonts w:ascii="Arial" w:eastAsiaTheme="minorEastAsia" w:hAnsi="Arial" w:cs="Arial"/>
          <w:color w:val="000000" w:themeColor="text1"/>
          <w:sz w:val="22"/>
          <w:szCs w:val="22"/>
          <w:lang w:val="es-MX"/>
        </w:rPr>
        <w:t xml:space="preserve"> </w:t>
      </w:r>
      <w:proofErr w:type="spellStart"/>
      <w:r>
        <w:rPr>
          <w:rFonts w:ascii="Arial" w:eastAsiaTheme="minorEastAsia" w:hAnsi="Arial" w:cs="Arial"/>
          <w:color w:val="000000" w:themeColor="text1"/>
          <w:sz w:val="22"/>
          <w:szCs w:val="22"/>
          <w:lang w:val="es-MX"/>
        </w:rPr>
        <w:t>e</w:t>
      </w:r>
      <w:proofErr w:type="spellEnd"/>
      <w:r>
        <w:rPr>
          <w:rFonts w:ascii="Arial" w:eastAsiaTheme="minorEastAsia" w:hAnsi="Arial" w:cs="Arial"/>
          <w:color w:val="000000" w:themeColor="text1"/>
          <w:sz w:val="22"/>
          <w:szCs w:val="22"/>
          <w:lang w:val="es-MX"/>
        </w:rPr>
        <w:t xml:space="preserve"> Agricultura Rural AD-</w:t>
      </w:r>
      <w:proofErr w:type="spellStart"/>
      <w:r>
        <w:rPr>
          <w:rFonts w:ascii="Arial" w:eastAsiaTheme="minorEastAsia" w:hAnsi="Arial" w:cs="Arial"/>
          <w:color w:val="000000" w:themeColor="text1"/>
          <w:sz w:val="22"/>
          <w:szCs w:val="22"/>
          <w:lang w:val="es-MX"/>
        </w:rPr>
        <w:t>HCo</w:t>
      </w:r>
      <w:proofErr w:type="spellEnd"/>
      <w:r>
        <w:rPr>
          <w:rFonts w:ascii="Arial" w:eastAsiaTheme="minorEastAsia" w:hAnsi="Arial" w:cs="Arial"/>
          <w:color w:val="000000" w:themeColor="text1"/>
          <w:sz w:val="22"/>
          <w:szCs w:val="22"/>
          <w:lang w:val="es-MX"/>
        </w:rPr>
        <w:t xml:space="preserve"> en virtud del </w:t>
      </w:r>
      <w:r w:rsidR="00DD7A6E">
        <w:rPr>
          <w:rFonts w:ascii="Arial" w:eastAsiaTheme="minorEastAsia" w:hAnsi="Arial" w:cs="Arial"/>
          <w:color w:val="000000" w:themeColor="text1"/>
          <w:sz w:val="22"/>
          <w:szCs w:val="22"/>
          <w:lang w:val="es-MX"/>
        </w:rPr>
        <w:t>Dec</w:t>
      </w:r>
      <w:r>
        <w:rPr>
          <w:rFonts w:ascii="Arial" w:eastAsiaTheme="minorEastAsia" w:hAnsi="Arial" w:cs="Arial"/>
          <w:color w:val="000000" w:themeColor="text1"/>
          <w:sz w:val="22"/>
          <w:szCs w:val="22"/>
          <w:lang w:val="es-MX"/>
        </w:rPr>
        <w:t>reto 1419 de 2024 resolvió emitir la</w:t>
      </w:r>
      <w:r w:rsidR="00DD7A6E">
        <w:rPr>
          <w:rFonts w:ascii="Arial" w:eastAsiaTheme="minorEastAsia" w:hAnsi="Arial" w:cs="Arial"/>
          <w:color w:val="000000" w:themeColor="text1"/>
          <w:sz w:val="22"/>
          <w:szCs w:val="22"/>
          <w:lang w:val="es-MX"/>
        </w:rPr>
        <w:t xml:space="preserve"> ruta de trabajo que debe ser adoptada </w:t>
      </w:r>
      <w:r w:rsidR="003D3EA8">
        <w:rPr>
          <w:rFonts w:ascii="Arial" w:eastAsiaTheme="minorEastAsia" w:hAnsi="Arial" w:cs="Arial"/>
          <w:color w:val="000000" w:themeColor="text1"/>
          <w:sz w:val="22"/>
          <w:szCs w:val="22"/>
          <w:lang w:val="es-MX"/>
        </w:rPr>
        <w:t xml:space="preserve">conforme las recomendaciones recibidas </w:t>
      </w:r>
      <w:r w:rsidR="00391531">
        <w:rPr>
          <w:rFonts w:ascii="Arial" w:eastAsiaTheme="minorEastAsia" w:hAnsi="Arial" w:cs="Arial"/>
          <w:color w:val="000000" w:themeColor="text1"/>
          <w:sz w:val="22"/>
          <w:szCs w:val="22"/>
          <w:lang w:val="es-MX"/>
        </w:rPr>
        <w:t>en el radicado 2025EE0076850</w:t>
      </w:r>
      <w:r w:rsidR="003D3EA8">
        <w:rPr>
          <w:rFonts w:ascii="Arial" w:eastAsiaTheme="minorEastAsia" w:hAnsi="Arial" w:cs="Arial"/>
          <w:color w:val="000000" w:themeColor="text1"/>
          <w:sz w:val="22"/>
          <w:szCs w:val="22"/>
          <w:lang w:val="es-MX"/>
        </w:rPr>
        <w:t xml:space="preserve">, así: </w:t>
      </w:r>
    </w:p>
    <w:p w14:paraId="642B4483" w14:textId="77777777" w:rsidR="00391531" w:rsidRPr="00391531" w:rsidRDefault="00391531" w:rsidP="00391531">
      <w:pPr>
        <w:ind w:left="-567"/>
        <w:jc w:val="both"/>
        <w:rPr>
          <w:rFonts w:ascii="Arial" w:eastAsiaTheme="minorEastAsia" w:hAnsi="Arial" w:cs="Arial"/>
          <w:color w:val="000000" w:themeColor="text1"/>
          <w:sz w:val="22"/>
          <w:szCs w:val="22"/>
          <w:lang w:val="es-MX"/>
        </w:rPr>
      </w:pPr>
    </w:p>
    <w:p w14:paraId="3526BF02" w14:textId="2938D4BB" w:rsidR="003D3EA8" w:rsidRDefault="00391531" w:rsidP="00391531">
      <w:pPr>
        <w:ind w:left="-567"/>
        <w:jc w:val="both"/>
        <w:rPr>
          <w:rFonts w:ascii="Arial" w:eastAsiaTheme="minorEastAsia" w:hAnsi="Arial" w:cs="Arial"/>
          <w:color w:val="000000" w:themeColor="text1"/>
          <w:sz w:val="22"/>
          <w:szCs w:val="22"/>
          <w:lang w:val="es-MX"/>
        </w:rPr>
      </w:pPr>
      <w:r w:rsidRPr="00E67120">
        <w:rPr>
          <w:rFonts w:ascii="Arial" w:eastAsiaTheme="minorEastAsia" w:hAnsi="Arial" w:cs="Arial"/>
          <w:b/>
          <w:bCs/>
          <w:color w:val="385623" w:themeColor="accent6" w:themeShade="80"/>
          <w:sz w:val="22"/>
          <w:szCs w:val="22"/>
          <w:lang w:val="es-MX"/>
        </w:rPr>
        <w:t>Ruta de trabajo para el cierre del programa de subsidio familiar de vivienda de interés social y prioritario rural - Recomendaciones y conclusiones</w:t>
      </w:r>
    </w:p>
    <w:p w14:paraId="37C04B16" w14:textId="77777777" w:rsidR="003D3EA8" w:rsidRDefault="003D3EA8" w:rsidP="00F80D10">
      <w:pPr>
        <w:ind w:left="-567"/>
        <w:jc w:val="both"/>
        <w:rPr>
          <w:rFonts w:ascii="Arial" w:eastAsiaTheme="minorEastAsia" w:hAnsi="Arial" w:cs="Arial"/>
          <w:color w:val="000000" w:themeColor="text1"/>
          <w:sz w:val="22"/>
          <w:szCs w:val="22"/>
          <w:lang w:val="es-MX"/>
        </w:rPr>
      </w:pPr>
    </w:p>
    <w:p w14:paraId="35CA15C4" w14:textId="584F19DA" w:rsidR="0017573C" w:rsidRPr="0017573C" w:rsidRDefault="0017573C" w:rsidP="00F80D10">
      <w:pPr>
        <w:ind w:left="-567"/>
        <w:jc w:val="both"/>
        <w:rPr>
          <w:rFonts w:ascii="Arial" w:eastAsiaTheme="minorEastAsia" w:hAnsi="Arial" w:cs="Arial"/>
          <w:i/>
          <w:iCs/>
          <w:color w:val="000000" w:themeColor="text1"/>
          <w:sz w:val="22"/>
          <w:szCs w:val="22"/>
          <w:lang w:val="es-MX"/>
        </w:rPr>
      </w:pPr>
      <w:r w:rsidRPr="0017573C">
        <w:rPr>
          <w:rFonts w:ascii="Arial" w:eastAsiaTheme="minorEastAsia" w:hAnsi="Arial" w:cs="Arial"/>
          <w:i/>
          <w:iCs/>
          <w:color w:val="000000" w:themeColor="text1"/>
          <w:sz w:val="22"/>
          <w:szCs w:val="22"/>
          <w:lang w:val="es-MX"/>
        </w:rPr>
        <w:t>“En atención a la culminación del contrato de fiducia y a la imposibilidad jurídica y operativa de continuar con el modelo actual, se recomienda que el Ministerio inicie formalmente el proceso de identificación, evaluación y selección de un nuevo operador que pueda asumir, con capacidad técnica, financiera y administrativa, la ejecución de las obligaciones remanentes del Programa de Vivienda Rural.”</w:t>
      </w:r>
    </w:p>
    <w:p w14:paraId="39049D0C" w14:textId="77777777" w:rsidR="00F80D10" w:rsidRDefault="00F80D10" w:rsidP="00F80D10">
      <w:pPr>
        <w:ind w:left="-567"/>
        <w:jc w:val="both"/>
        <w:rPr>
          <w:rFonts w:ascii="Arial" w:eastAsiaTheme="minorEastAsia" w:hAnsi="Arial" w:cs="Arial"/>
          <w:color w:val="000000" w:themeColor="text1"/>
          <w:sz w:val="22"/>
          <w:szCs w:val="22"/>
          <w:lang w:val="es-MX"/>
        </w:rPr>
      </w:pPr>
    </w:p>
    <w:p w14:paraId="7AD98F4E" w14:textId="77777777" w:rsidR="00196B74" w:rsidRDefault="00575CB9" w:rsidP="00196B74">
      <w:pPr>
        <w:ind w:left="-567"/>
        <w:jc w:val="both"/>
        <w:rPr>
          <w:rFonts w:ascii="Arial" w:eastAsiaTheme="minorEastAsia" w:hAnsi="Arial" w:cs="Arial"/>
          <w:color w:val="000000" w:themeColor="text1"/>
          <w:sz w:val="22"/>
          <w:szCs w:val="22"/>
          <w:lang w:val="es-MX"/>
        </w:rPr>
      </w:pPr>
      <w:r>
        <w:rPr>
          <w:rFonts w:ascii="Arial" w:eastAsiaTheme="minorEastAsia" w:hAnsi="Arial" w:cs="Arial"/>
          <w:color w:val="000000" w:themeColor="text1"/>
          <w:sz w:val="22"/>
          <w:szCs w:val="22"/>
          <w:lang w:val="es-MX"/>
        </w:rPr>
        <w:t xml:space="preserve">Adicionalmente indica </w:t>
      </w:r>
      <w:proofErr w:type="gramStart"/>
      <w:r>
        <w:rPr>
          <w:rFonts w:ascii="Arial" w:eastAsiaTheme="minorEastAsia" w:hAnsi="Arial" w:cs="Arial"/>
          <w:color w:val="000000" w:themeColor="text1"/>
          <w:sz w:val="22"/>
          <w:szCs w:val="22"/>
          <w:lang w:val="es-MX"/>
        </w:rPr>
        <w:t>que</w:t>
      </w:r>
      <w:proofErr w:type="gramEnd"/>
      <w:r>
        <w:rPr>
          <w:rFonts w:ascii="Arial" w:eastAsiaTheme="minorEastAsia" w:hAnsi="Arial" w:cs="Arial"/>
          <w:color w:val="000000" w:themeColor="text1"/>
          <w:sz w:val="22"/>
          <w:szCs w:val="22"/>
          <w:lang w:val="es-MX"/>
        </w:rPr>
        <w:t xml:space="preserve"> dependiendo de la capacidad operativa y financiera, se debe desarrollar un plan de trabajo, teniendo en cuenta </w:t>
      </w:r>
      <w:r w:rsidR="00196B74">
        <w:rPr>
          <w:rFonts w:ascii="Arial" w:eastAsiaTheme="minorEastAsia" w:hAnsi="Arial" w:cs="Arial"/>
          <w:color w:val="000000" w:themeColor="text1"/>
          <w:sz w:val="22"/>
          <w:szCs w:val="22"/>
          <w:lang w:val="es-MX"/>
        </w:rPr>
        <w:t>que la liquidación debe desarrollarse por fases, asegurando un plan de gestión de documentación, dando aplicación a las tablas de retención documental, asegurando un equipo de trabajo acorde con la necesidad de cada fase.</w:t>
      </w:r>
    </w:p>
    <w:p w14:paraId="5FCEEBC6" w14:textId="77777777" w:rsidR="00196B74" w:rsidRDefault="00196B74" w:rsidP="00196B74">
      <w:pPr>
        <w:ind w:left="-567"/>
        <w:jc w:val="both"/>
        <w:rPr>
          <w:rFonts w:ascii="Arial" w:eastAsiaTheme="minorEastAsia" w:hAnsi="Arial" w:cs="Arial"/>
          <w:color w:val="000000" w:themeColor="text1"/>
          <w:sz w:val="22"/>
          <w:szCs w:val="22"/>
          <w:lang w:val="es-MX"/>
        </w:rPr>
      </w:pPr>
    </w:p>
    <w:p w14:paraId="26B69D70" w14:textId="07B2997A" w:rsidR="00B10EB0" w:rsidRDefault="00196B74" w:rsidP="009E4BC0">
      <w:pPr>
        <w:ind w:left="-567"/>
        <w:jc w:val="both"/>
        <w:rPr>
          <w:rFonts w:ascii="Arial" w:eastAsiaTheme="minorEastAsia" w:hAnsi="Arial" w:cs="Arial"/>
          <w:color w:val="000000" w:themeColor="text1"/>
          <w:sz w:val="22"/>
          <w:szCs w:val="22"/>
          <w:lang w:val="es-MX"/>
        </w:rPr>
      </w:pPr>
      <w:r>
        <w:rPr>
          <w:rFonts w:ascii="Arial" w:eastAsiaTheme="minorEastAsia" w:hAnsi="Arial" w:cs="Arial"/>
          <w:color w:val="000000" w:themeColor="text1"/>
          <w:sz w:val="22"/>
          <w:szCs w:val="22"/>
          <w:lang w:val="es-MX"/>
        </w:rPr>
        <w:t xml:space="preserve">Así las cosas, la Dirección de Gestión de Bienes Públicos Rurales dio inicio a la liquidación </w:t>
      </w:r>
      <w:r w:rsidR="00A61B2A">
        <w:rPr>
          <w:rFonts w:ascii="Arial" w:eastAsiaTheme="minorEastAsia" w:hAnsi="Arial" w:cs="Arial"/>
          <w:color w:val="000000" w:themeColor="text1"/>
          <w:sz w:val="22"/>
          <w:szCs w:val="22"/>
          <w:lang w:val="es-MX"/>
        </w:rPr>
        <w:t xml:space="preserve">adoptando una metodología a partir de las recomendaciones realizadas por parte de la </w:t>
      </w:r>
      <w:proofErr w:type="gramStart"/>
      <w:r w:rsidR="00A61B2A">
        <w:rPr>
          <w:rFonts w:ascii="Arial" w:eastAsiaTheme="minorEastAsia" w:hAnsi="Arial" w:cs="Arial"/>
          <w:color w:val="000000" w:themeColor="text1"/>
          <w:sz w:val="22"/>
          <w:szCs w:val="22"/>
          <w:lang w:val="es-MX"/>
        </w:rPr>
        <w:t>Ministra</w:t>
      </w:r>
      <w:proofErr w:type="gramEnd"/>
      <w:r w:rsidR="00A61B2A">
        <w:rPr>
          <w:rFonts w:ascii="Arial" w:eastAsiaTheme="minorEastAsia" w:hAnsi="Arial" w:cs="Arial"/>
          <w:color w:val="000000" w:themeColor="text1"/>
          <w:sz w:val="22"/>
          <w:szCs w:val="22"/>
          <w:lang w:val="es-MX"/>
        </w:rPr>
        <w:t xml:space="preserve"> de Agricultura </w:t>
      </w:r>
      <w:r w:rsidR="00A61B2A" w:rsidRPr="00B85B55">
        <w:rPr>
          <w:rFonts w:ascii="Arial" w:eastAsiaTheme="minorEastAsia" w:hAnsi="Arial" w:cs="Arial"/>
          <w:color w:val="000000" w:themeColor="text1"/>
          <w:sz w:val="22"/>
          <w:szCs w:val="22"/>
          <w:lang w:val="es-MX"/>
        </w:rPr>
        <w:t>y Desarrollo Rural</w:t>
      </w:r>
      <w:r w:rsidR="00A3298C" w:rsidRPr="00B85B55">
        <w:rPr>
          <w:rFonts w:ascii="Arial" w:eastAsiaTheme="minorEastAsia" w:hAnsi="Arial" w:cs="Arial"/>
          <w:color w:val="000000" w:themeColor="text1"/>
          <w:sz w:val="22"/>
          <w:szCs w:val="22"/>
          <w:lang w:val="es-MX"/>
        </w:rPr>
        <w:t xml:space="preserve"> AD-HOC</w:t>
      </w:r>
      <w:r w:rsidR="00A61B2A" w:rsidRPr="00B85B55">
        <w:rPr>
          <w:rFonts w:ascii="Arial" w:eastAsiaTheme="minorEastAsia" w:hAnsi="Arial" w:cs="Arial"/>
          <w:color w:val="000000" w:themeColor="text1"/>
          <w:sz w:val="22"/>
          <w:szCs w:val="22"/>
          <w:lang w:val="es-MX"/>
        </w:rPr>
        <w:t xml:space="preserve">. </w:t>
      </w:r>
      <w:r w:rsidRPr="00B85B55">
        <w:rPr>
          <w:rFonts w:ascii="Arial" w:eastAsiaTheme="minorEastAsia" w:hAnsi="Arial" w:cs="Arial"/>
          <w:color w:val="000000" w:themeColor="text1"/>
          <w:sz w:val="22"/>
          <w:szCs w:val="22"/>
          <w:lang w:val="es-MX"/>
        </w:rPr>
        <w:t xml:space="preserve"> </w:t>
      </w:r>
    </w:p>
    <w:p w14:paraId="1A53E580" w14:textId="77777777" w:rsidR="009E4BC0" w:rsidRDefault="009E4BC0" w:rsidP="009E4BC0">
      <w:pPr>
        <w:ind w:left="-567"/>
        <w:jc w:val="both"/>
        <w:rPr>
          <w:rFonts w:ascii="Arial" w:eastAsiaTheme="minorEastAsia" w:hAnsi="Arial" w:cs="Arial"/>
          <w:color w:val="000000" w:themeColor="text1"/>
          <w:sz w:val="22"/>
          <w:szCs w:val="22"/>
          <w:lang w:val="es-MX"/>
        </w:rPr>
      </w:pPr>
    </w:p>
    <w:p w14:paraId="28C2D612" w14:textId="5DFC65D4" w:rsidR="009E4BC0" w:rsidRPr="009E4BC0" w:rsidRDefault="009E4BC0" w:rsidP="009E4BC0">
      <w:pPr>
        <w:ind w:left="-567"/>
        <w:jc w:val="both"/>
        <w:rPr>
          <w:rFonts w:ascii="Arial" w:eastAsiaTheme="minorEastAsia" w:hAnsi="Arial" w:cs="Arial"/>
          <w:color w:val="000000" w:themeColor="text1"/>
          <w:sz w:val="22"/>
          <w:szCs w:val="22"/>
          <w:lang w:val="es-MX"/>
        </w:rPr>
      </w:pPr>
      <w:r>
        <w:rPr>
          <w:rFonts w:ascii="Arial" w:eastAsiaTheme="minorEastAsia" w:hAnsi="Arial" w:cs="Arial"/>
          <w:color w:val="000000" w:themeColor="text1"/>
          <w:sz w:val="22"/>
          <w:szCs w:val="22"/>
          <w:lang w:val="es-MX"/>
        </w:rPr>
        <w:t xml:space="preserve">A </w:t>
      </w:r>
      <w:proofErr w:type="gramStart"/>
      <w:r w:rsidRPr="009E4BC0">
        <w:rPr>
          <w:rFonts w:ascii="Arial" w:eastAsiaTheme="minorEastAsia" w:hAnsi="Arial" w:cs="Arial"/>
          <w:color w:val="000000" w:themeColor="text1"/>
          <w:sz w:val="22"/>
          <w:szCs w:val="22"/>
          <w:lang w:val="es-MX"/>
        </w:rPr>
        <w:t>continuación</w:t>
      </w:r>
      <w:proofErr w:type="gramEnd"/>
      <w:r w:rsidRPr="009E4BC0">
        <w:rPr>
          <w:rFonts w:ascii="Arial" w:eastAsiaTheme="minorEastAsia" w:hAnsi="Arial" w:cs="Arial"/>
          <w:color w:val="000000" w:themeColor="text1"/>
          <w:sz w:val="22"/>
          <w:szCs w:val="22"/>
          <w:lang w:val="es-MX"/>
        </w:rPr>
        <w:t xml:space="preserve"> se presenta un resumen de los hitos clave en el proceso de liquidación de los</w:t>
      </w:r>
      <w:r>
        <w:rPr>
          <w:rFonts w:ascii="Arial" w:eastAsiaTheme="minorEastAsia" w:hAnsi="Arial" w:cs="Arial"/>
          <w:color w:val="000000" w:themeColor="text1"/>
          <w:sz w:val="22"/>
          <w:szCs w:val="22"/>
          <w:lang w:val="es-MX"/>
        </w:rPr>
        <w:t xml:space="preserve"> </w:t>
      </w:r>
      <w:r w:rsidRPr="009E4BC0">
        <w:rPr>
          <w:rFonts w:ascii="Arial" w:eastAsiaTheme="minorEastAsia" w:hAnsi="Arial" w:cs="Arial"/>
          <w:color w:val="000000" w:themeColor="text1"/>
          <w:sz w:val="22"/>
          <w:szCs w:val="22"/>
          <w:lang w:val="es-MX"/>
        </w:rPr>
        <w:t>contratos de fiducia No. 201804712 de 2018 y No. 20190418 de 2019, según la línea de tiempo</w:t>
      </w:r>
    </w:p>
    <w:p w14:paraId="559B4296" w14:textId="77777777" w:rsidR="009E4BC0" w:rsidRPr="009E4BC0" w:rsidRDefault="009E4BC0" w:rsidP="009E4BC0">
      <w:pPr>
        <w:ind w:left="-567"/>
        <w:jc w:val="both"/>
        <w:rPr>
          <w:rFonts w:ascii="Arial" w:eastAsiaTheme="minorEastAsia" w:hAnsi="Arial" w:cs="Arial"/>
          <w:color w:val="000000" w:themeColor="text1"/>
          <w:sz w:val="22"/>
          <w:szCs w:val="22"/>
          <w:lang w:val="es-MX"/>
        </w:rPr>
      </w:pPr>
      <w:r w:rsidRPr="009E4BC0">
        <w:rPr>
          <w:rFonts w:ascii="Arial" w:eastAsiaTheme="minorEastAsia" w:hAnsi="Arial" w:cs="Arial"/>
          <w:color w:val="000000" w:themeColor="text1"/>
          <w:sz w:val="22"/>
          <w:szCs w:val="22"/>
          <w:lang w:val="es-MX"/>
        </w:rPr>
        <w:t>institucional:</w:t>
      </w:r>
    </w:p>
    <w:p w14:paraId="17A749D1" w14:textId="77777777" w:rsidR="009E4BC0" w:rsidRDefault="009E4BC0" w:rsidP="009E4BC0">
      <w:pPr>
        <w:ind w:left="-567"/>
        <w:jc w:val="both"/>
        <w:rPr>
          <w:rFonts w:ascii="Arial" w:eastAsiaTheme="minorEastAsia" w:hAnsi="Arial" w:cs="Arial"/>
          <w:color w:val="000000" w:themeColor="text1"/>
          <w:sz w:val="22"/>
          <w:szCs w:val="22"/>
          <w:lang w:val="es-MX"/>
        </w:rPr>
      </w:pPr>
    </w:p>
    <w:p w14:paraId="496F8B68" w14:textId="2DF327FD" w:rsidR="009E4BC0" w:rsidRPr="009E4BC0" w:rsidRDefault="009E4BC0" w:rsidP="009E4BC0">
      <w:pPr>
        <w:ind w:left="-567"/>
        <w:jc w:val="both"/>
        <w:rPr>
          <w:rFonts w:ascii="Arial" w:eastAsiaTheme="minorEastAsia" w:hAnsi="Arial" w:cs="Arial"/>
          <w:color w:val="000000" w:themeColor="text1"/>
          <w:sz w:val="22"/>
          <w:szCs w:val="22"/>
          <w:lang w:val="es-MX"/>
        </w:rPr>
      </w:pPr>
      <w:r w:rsidRPr="009E4BC0">
        <w:rPr>
          <w:rFonts w:ascii="Arial" w:eastAsiaTheme="minorEastAsia" w:hAnsi="Arial" w:cs="Arial"/>
          <w:color w:val="000000" w:themeColor="text1"/>
          <w:sz w:val="22"/>
          <w:szCs w:val="22"/>
          <w:lang w:val="es-MX"/>
        </w:rPr>
        <w:t xml:space="preserve">• </w:t>
      </w:r>
      <w:r w:rsidRPr="009E4BC0">
        <w:rPr>
          <w:rFonts w:ascii="Arial" w:eastAsiaTheme="minorEastAsia" w:hAnsi="Arial" w:cs="Arial"/>
          <w:b/>
          <w:bCs/>
          <w:color w:val="000000" w:themeColor="text1"/>
          <w:sz w:val="22"/>
          <w:szCs w:val="22"/>
          <w:lang w:val="es-MX"/>
        </w:rPr>
        <w:t>Terminación de los contratos de fiducia</w:t>
      </w:r>
      <w:r w:rsidRPr="009E4BC0">
        <w:rPr>
          <w:rFonts w:ascii="Arial" w:eastAsiaTheme="minorEastAsia" w:hAnsi="Arial" w:cs="Arial"/>
          <w:color w:val="000000" w:themeColor="text1"/>
          <w:sz w:val="22"/>
          <w:szCs w:val="22"/>
          <w:lang w:val="es-MX"/>
        </w:rPr>
        <w:t>: (1 de diciembre de 2025): Finalización del</w:t>
      </w:r>
      <w:r>
        <w:rPr>
          <w:rFonts w:ascii="Arial" w:eastAsiaTheme="minorEastAsia" w:hAnsi="Arial" w:cs="Arial"/>
          <w:color w:val="000000" w:themeColor="text1"/>
          <w:sz w:val="22"/>
          <w:szCs w:val="22"/>
          <w:lang w:val="es-MX"/>
        </w:rPr>
        <w:t xml:space="preserve"> </w:t>
      </w:r>
      <w:r w:rsidRPr="009E4BC0">
        <w:rPr>
          <w:rFonts w:ascii="Arial" w:eastAsiaTheme="minorEastAsia" w:hAnsi="Arial" w:cs="Arial"/>
          <w:color w:val="000000" w:themeColor="text1"/>
          <w:sz w:val="22"/>
          <w:szCs w:val="22"/>
          <w:lang w:val="es-MX"/>
        </w:rPr>
        <w:t>plazo pactado sin contar con la ejecución ni la entrega total de las viviendas proyectadas.</w:t>
      </w:r>
    </w:p>
    <w:p w14:paraId="10F7F659" w14:textId="77777777" w:rsidR="009E4BC0" w:rsidRDefault="009E4BC0" w:rsidP="009E4BC0">
      <w:pPr>
        <w:ind w:left="-567"/>
        <w:jc w:val="both"/>
        <w:rPr>
          <w:rFonts w:ascii="Arial" w:eastAsiaTheme="minorEastAsia" w:hAnsi="Arial" w:cs="Arial"/>
          <w:color w:val="000000" w:themeColor="text1"/>
          <w:sz w:val="22"/>
          <w:szCs w:val="22"/>
          <w:lang w:val="es-MX"/>
        </w:rPr>
      </w:pPr>
    </w:p>
    <w:p w14:paraId="2C2A83CF" w14:textId="383D4E89" w:rsidR="009E4BC0" w:rsidRDefault="009E4BC0" w:rsidP="009E4BC0">
      <w:pPr>
        <w:ind w:left="-567"/>
        <w:jc w:val="both"/>
        <w:rPr>
          <w:rFonts w:ascii="Arial" w:eastAsiaTheme="minorEastAsia" w:hAnsi="Arial" w:cs="Arial"/>
          <w:color w:val="000000" w:themeColor="text1"/>
          <w:sz w:val="22"/>
          <w:szCs w:val="22"/>
          <w:lang w:val="es-MX"/>
        </w:rPr>
      </w:pPr>
      <w:r w:rsidRPr="009E4BC0">
        <w:rPr>
          <w:rFonts w:ascii="Arial" w:eastAsiaTheme="minorEastAsia" w:hAnsi="Arial" w:cs="Arial"/>
          <w:color w:val="000000" w:themeColor="text1"/>
          <w:sz w:val="22"/>
          <w:szCs w:val="22"/>
          <w:lang w:val="es-MX"/>
        </w:rPr>
        <w:t xml:space="preserve">• </w:t>
      </w:r>
      <w:r w:rsidRPr="009E4BC0">
        <w:rPr>
          <w:rFonts w:ascii="Arial" w:eastAsiaTheme="minorEastAsia" w:hAnsi="Arial" w:cs="Arial"/>
          <w:b/>
          <w:bCs/>
          <w:color w:val="000000" w:themeColor="text1"/>
          <w:sz w:val="22"/>
          <w:szCs w:val="22"/>
          <w:lang w:val="es-MX"/>
        </w:rPr>
        <w:t xml:space="preserve">Articulación técnica (2 al 9 de diciembre de 2025): </w:t>
      </w:r>
      <w:r w:rsidRPr="009E4BC0">
        <w:rPr>
          <w:rFonts w:ascii="Arial" w:eastAsiaTheme="minorEastAsia" w:hAnsi="Arial" w:cs="Arial"/>
          <w:color w:val="000000" w:themeColor="text1"/>
          <w:sz w:val="22"/>
          <w:szCs w:val="22"/>
          <w:lang w:val="es-MX"/>
        </w:rPr>
        <w:t>Se realizaron las primeras mesas</w:t>
      </w:r>
      <w:r>
        <w:rPr>
          <w:rFonts w:ascii="Arial" w:eastAsiaTheme="minorEastAsia" w:hAnsi="Arial" w:cs="Arial"/>
          <w:color w:val="000000" w:themeColor="text1"/>
          <w:sz w:val="22"/>
          <w:szCs w:val="22"/>
          <w:lang w:val="es-MX"/>
        </w:rPr>
        <w:t xml:space="preserve"> </w:t>
      </w:r>
      <w:r w:rsidRPr="009E4BC0">
        <w:rPr>
          <w:rFonts w:ascii="Arial" w:eastAsiaTheme="minorEastAsia" w:hAnsi="Arial" w:cs="Arial"/>
          <w:color w:val="000000" w:themeColor="text1"/>
          <w:sz w:val="22"/>
          <w:szCs w:val="22"/>
          <w:lang w:val="es-MX"/>
        </w:rPr>
        <w:t>de trabajo (No. 1 y No. 2) entre FIDUAGRARIA y el MADR. En estas sesiones se</w:t>
      </w:r>
      <w:r>
        <w:rPr>
          <w:rFonts w:ascii="Arial" w:eastAsiaTheme="minorEastAsia" w:hAnsi="Arial" w:cs="Arial"/>
          <w:color w:val="000000" w:themeColor="text1"/>
          <w:sz w:val="22"/>
          <w:szCs w:val="22"/>
          <w:lang w:val="es-MX"/>
        </w:rPr>
        <w:t xml:space="preserve"> </w:t>
      </w:r>
      <w:r w:rsidRPr="009E4BC0">
        <w:rPr>
          <w:rFonts w:ascii="Arial" w:eastAsiaTheme="minorEastAsia" w:hAnsi="Arial" w:cs="Arial"/>
          <w:color w:val="000000" w:themeColor="text1"/>
          <w:sz w:val="22"/>
          <w:szCs w:val="22"/>
          <w:lang w:val="es-MX"/>
        </w:rPr>
        <w:t>definieron pares para los componentes técnico, jurídico, financiero y documental, y se</w:t>
      </w:r>
      <w:r>
        <w:rPr>
          <w:rFonts w:ascii="Arial" w:eastAsiaTheme="minorEastAsia" w:hAnsi="Arial" w:cs="Arial"/>
          <w:color w:val="000000" w:themeColor="text1"/>
          <w:sz w:val="22"/>
          <w:szCs w:val="22"/>
          <w:lang w:val="es-MX"/>
        </w:rPr>
        <w:t xml:space="preserve"> </w:t>
      </w:r>
      <w:r w:rsidRPr="009E4BC0">
        <w:rPr>
          <w:rFonts w:ascii="Arial" w:eastAsiaTheme="minorEastAsia" w:hAnsi="Arial" w:cs="Arial"/>
          <w:color w:val="000000" w:themeColor="text1"/>
          <w:sz w:val="22"/>
          <w:szCs w:val="22"/>
          <w:lang w:val="es-MX"/>
        </w:rPr>
        <w:t>clasificaron los grupos para la entrega de información física y digital (casos judiciales, sin</w:t>
      </w:r>
      <w:r>
        <w:rPr>
          <w:rFonts w:ascii="Arial" w:eastAsiaTheme="minorEastAsia" w:hAnsi="Arial" w:cs="Arial"/>
          <w:color w:val="000000" w:themeColor="text1"/>
          <w:sz w:val="22"/>
          <w:szCs w:val="22"/>
          <w:lang w:val="es-MX"/>
        </w:rPr>
        <w:t xml:space="preserve"> </w:t>
      </w:r>
      <w:r w:rsidRPr="009E4BC0">
        <w:rPr>
          <w:rFonts w:ascii="Arial" w:eastAsiaTheme="minorEastAsia" w:hAnsi="Arial" w:cs="Arial"/>
          <w:color w:val="000000" w:themeColor="text1"/>
          <w:sz w:val="22"/>
          <w:szCs w:val="22"/>
          <w:lang w:val="es-MX"/>
        </w:rPr>
        <w:t>contratación, terminados y en ejecución activa).</w:t>
      </w:r>
    </w:p>
    <w:p w14:paraId="2B4279EB" w14:textId="77777777" w:rsidR="0063676E" w:rsidRDefault="0063676E" w:rsidP="009E4BC0">
      <w:pPr>
        <w:ind w:left="-567"/>
        <w:jc w:val="both"/>
        <w:rPr>
          <w:rFonts w:ascii="Arial" w:eastAsiaTheme="minorEastAsia" w:hAnsi="Arial" w:cs="Arial"/>
          <w:color w:val="000000" w:themeColor="text1"/>
          <w:sz w:val="22"/>
          <w:szCs w:val="22"/>
          <w:lang w:val="es-MX"/>
        </w:rPr>
      </w:pPr>
    </w:p>
    <w:p w14:paraId="22C64582" w14:textId="77056F7D" w:rsidR="0063676E" w:rsidRPr="0063676E" w:rsidRDefault="0063676E" w:rsidP="0063676E">
      <w:pPr>
        <w:ind w:left="-567"/>
        <w:jc w:val="both"/>
        <w:rPr>
          <w:rFonts w:ascii="Arial" w:eastAsiaTheme="minorEastAsia" w:hAnsi="Arial" w:cs="Arial"/>
          <w:color w:val="000000" w:themeColor="text1"/>
          <w:sz w:val="22"/>
          <w:szCs w:val="22"/>
          <w:lang w:val="es-MX"/>
        </w:rPr>
      </w:pPr>
      <w:r w:rsidRPr="009E4BC0">
        <w:rPr>
          <w:rFonts w:ascii="Arial" w:eastAsiaTheme="minorEastAsia" w:hAnsi="Arial" w:cs="Arial"/>
          <w:color w:val="000000" w:themeColor="text1"/>
          <w:sz w:val="22"/>
          <w:szCs w:val="22"/>
          <w:lang w:val="es-MX"/>
        </w:rPr>
        <w:t xml:space="preserve">• </w:t>
      </w:r>
      <w:r w:rsidRPr="0063676E">
        <w:rPr>
          <w:rFonts w:ascii="Arial" w:eastAsiaTheme="minorEastAsia" w:hAnsi="Arial" w:cs="Arial"/>
          <w:b/>
          <w:bCs/>
          <w:color w:val="000000" w:themeColor="text1"/>
          <w:sz w:val="22"/>
          <w:szCs w:val="22"/>
          <w:lang w:val="es-MX"/>
        </w:rPr>
        <w:t xml:space="preserve">Remisión de Metodología (19 de diciembre de 2025): </w:t>
      </w:r>
      <w:r w:rsidRPr="0063676E">
        <w:rPr>
          <w:rFonts w:ascii="Arial" w:eastAsiaTheme="minorEastAsia" w:hAnsi="Arial" w:cs="Arial"/>
          <w:color w:val="000000" w:themeColor="text1"/>
          <w:sz w:val="22"/>
          <w:szCs w:val="22"/>
          <w:lang w:val="es-MX"/>
        </w:rPr>
        <w:t>El MADR remitió la metodología</w:t>
      </w:r>
      <w:r>
        <w:rPr>
          <w:rFonts w:ascii="Arial" w:eastAsiaTheme="minorEastAsia" w:hAnsi="Arial" w:cs="Arial"/>
          <w:color w:val="000000" w:themeColor="text1"/>
          <w:sz w:val="22"/>
          <w:szCs w:val="22"/>
          <w:lang w:val="es-MX"/>
        </w:rPr>
        <w:t xml:space="preserve"> </w:t>
      </w:r>
      <w:r w:rsidRPr="0063676E">
        <w:rPr>
          <w:rFonts w:ascii="Arial" w:eastAsiaTheme="minorEastAsia" w:hAnsi="Arial" w:cs="Arial"/>
          <w:color w:val="000000" w:themeColor="text1"/>
          <w:sz w:val="22"/>
          <w:szCs w:val="22"/>
          <w:lang w:val="es-MX"/>
        </w:rPr>
        <w:t xml:space="preserve">estructurada en cuatro fases: alistamiento, mesa de gestión documental, mesa </w:t>
      </w:r>
      <w:proofErr w:type="spellStart"/>
      <w:r w:rsidRPr="0063676E">
        <w:rPr>
          <w:rFonts w:ascii="Arial" w:eastAsiaTheme="minorEastAsia" w:hAnsi="Arial" w:cs="Arial"/>
          <w:color w:val="000000" w:themeColor="text1"/>
          <w:sz w:val="22"/>
          <w:szCs w:val="22"/>
          <w:lang w:val="es-MX"/>
        </w:rPr>
        <w:t>financieratécnica</w:t>
      </w:r>
      <w:proofErr w:type="spellEnd"/>
    </w:p>
    <w:p w14:paraId="2B65617F" w14:textId="77777777" w:rsidR="0063676E" w:rsidRPr="0063676E" w:rsidRDefault="0063676E" w:rsidP="0063676E">
      <w:pPr>
        <w:ind w:left="-567"/>
        <w:jc w:val="both"/>
        <w:rPr>
          <w:rFonts w:ascii="Arial" w:eastAsiaTheme="minorEastAsia" w:hAnsi="Arial" w:cs="Arial"/>
          <w:color w:val="000000" w:themeColor="text1"/>
          <w:sz w:val="22"/>
          <w:szCs w:val="22"/>
          <w:lang w:val="es-MX"/>
        </w:rPr>
      </w:pPr>
      <w:r w:rsidRPr="0063676E">
        <w:rPr>
          <w:rFonts w:ascii="Arial" w:eastAsiaTheme="minorEastAsia" w:hAnsi="Arial" w:cs="Arial"/>
          <w:color w:val="000000" w:themeColor="text1"/>
          <w:sz w:val="22"/>
          <w:szCs w:val="22"/>
          <w:lang w:val="es-MX"/>
        </w:rPr>
        <w:t>y mesa de trabajo con la Oficina Asesora Jurídica (OAJ).</w:t>
      </w:r>
    </w:p>
    <w:p w14:paraId="2FB80D9B" w14:textId="77777777" w:rsidR="0063676E" w:rsidRDefault="0063676E" w:rsidP="0063676E">
      <w:pPr>
        <w:ind w:left="-567"/>
        <w:jc w:val="both"/>
        <w:rPr>
          <w:rFonts w:ascii="Arial" w:eastAsiaTheme="minorEastAsia" w:hAnsi="Arial" w:cs="Arial"/>
          <w:color w:val="000000" w:themeColor="text1"/>
          <w:sz w:val="22"/>
          <w:szCs w:val="22"/>
          <w:lang w:val="es-MX"/>
        </w:rPr>
      </w:pPr>
    </w:p>
    <w:p w14:paraId="6A61534B" w14:textId="21CAEF08" w:rsidR="0063676E" w:rsidRDefault="0063676E" w:rsidP="0063676E">
      <w:pPr>
        <w:ind w:left="-567"/>
        <w:jc w:val="both"/>
        <w:rPr>
          <w:rFonts w:ascii="Arial" w:eastAsiaTheme="minorEastAsia" w:hAnsi="Arial" w:cs="Arial"/>
          <w:color w:val="000000" w:themeColor="text1"/>
          <w:sz w:val="22"/>
          <w:szCs w:val="22"/>
          <w:lang w:val="es-MX"/>
        </w:rPr>
      </w:pPr>
      <w:r w:rsidRPr="0063676E">
        <w:rPr>
          <w:rFonts w:ascii="Arial" w:eastAsiaTheme="minorEastAsia" w:hAnsi="Arial" w:cs="Arial"/>
          <w:color w:val="000000" w:themeColor="text1"/>
          <w:sz w:val="22"/>
          <w:szCs w:val="22"/>
          <w:lang w:val="es-MX"/>
        </w:rPr>
        <w:t xml:space="preserve">• </w:t>
      </w:r>
      <w:r w:rsidRPr="0063676E">
        <w:rPr>
          <w:rFonts w:ascii="Arial" w:eastAsiaTheme="minorEastAsia" w:hAnsi="Arial" w:cs="Arial"/>
          <w:b/>
          <w:bCs/>
          <w:color w:val="000000" w:themeColor="text1"/>
          <w:sz w:val="22"/>
          <w:szCs w:val="22"/>
          <w:lang w:val="es-MX"/>
        </w:rPr>
        <w:t xml:space="preserve">Gestión Documental y Custodia (22 de diciembre de 2025): </w:t>
      </w:r>
      <w:r w:rsidRPr="0063676E">
        <w:rPr>
          <w:rFonts w:ascii="Arial" w:eastAsiaTheme="minorEastAsia" w:hAnsi="Arial" w:cs="Arial"/>
          <w:color w:val="000000" w:themeColor="text1"/>
          <w:sz w:val="22"/>
          <w:szCs w:val="22"/>
          <w:lang w:val="es-MX"/>
        </w:rPr>
        <w:t>En la Mesa No. 3 s</w:t>
      </w:r>
      <w:r>
        <w:rPr>
          <w:rFonts w:ascii="Arial" w:eastAsiaTheme="minorEastAsia" w:hAnsi="Arial" w:cs="Arial"/>
          <w:color w:val="000000" w:themeColor="text1"/>
          <w:sz w:val="22"/>
          <w:szCs w:val="22"/>
          <w:lang w:val="es-MX"/>
        </w:rPr>
        <w:t xml:space="preserve">e </w:t>
      </w:r>
      <w:r w:rsidRPr="0063676E">
        <w:rPr>
          <w:rFonts w:ascii="Arial" w:eastAsiaTheme="minorEastAsia" w:hAnsi="Arial" w:cs="Arial"/>
          <w:color w:val="000000" w:themeColor="text1"/>
          <w:sz w:val="22"/>
          <w:szCs w:val="22"/>
          <w:lang w:val="es-MX"/>
        </w:rPr>
        <w:t>determinó el uso de tablas de retención documental y se estableció la custodia actual de</w:t>
      </w:r>
      <w:r>
        <w:rPr>
          <w:rFonts w:ascii="Arial" w:eastAsiaTheme="minorEastAsia" w:hAnsi="Arial" w:cs="Arial"/>
          <w:color w:val="000000" w:themeColor="text1"/>
          <w:sz w:val="22"/>
          <w:szCs w:val="22"/>
          <w:lang w:val="es-MX"/>
        </w:rPr>
        <w:t xml:space="preserve"> </w:t>
      </w:r>
      <w:r w:rsidRPr="0063676E">
        <w:rPr>
          <w:rFonts w:ascii="Arial" w:eastAsiaTheme="minorEastAsia" w:hAnsi="Arial" w:cs="Arial"/>
          <w:color w:val="000000" w:themeColor="text1"/>
          <w:sz w:val="22"/>
          <w:szCs w:val="22"/>
          <w:lang w:val="es-MX"/>
        </w:rPr>
        <w:t>100 metros lineales de archivo físico y digital, con un plazo de entrega de 2 meses.</w:t>
      </w:r>
    </w:p>
    <w:p w14:paraId="379D2F68" w14:textId="77777777" w:rsidR="009D42A4" w:rsidRDefault="009D42A4" w:rsidP="0063676E">
      <w:pPr>
        <w:ind w:left="-567"/>
        <w:jc w:val="both"/>
        <w:rPr>
          <w:rFonts w:ascii="Arial" w:eastAsiaTheme="minorEastAsia" w:hAnsi="Arial" w:cs="Arial"/>
          <w:color w:val="000000" w:themeColor="text1"/>
          <w:sz w:val="22"/>
          <w:szCs w:val="22"/>
          <w:lang w:val="es-MX"/>
        </w:rPr>
      </w:pPr>
    </w:p>
    <w:p w14:paraId="71F377BE" w14:textId="3A4615BB" w:rsidR="009D42A4" w:rsidRDefault="009D42A4" w:rsidP="0063676E">
      <w:pPr>
        <w:ind w:left="-567"/>
        <w:jc w:val="both"/>
        <w:rPr>
          <w:rFonts w:ascii="Arial" w:eastAsiaTheme="minorEastAsia" w:hAnsi="Arial" w:cs="Arial"/>
          <w:color w:val="000000" w:themeColor="text1"/>
          <w:sz w:val="22"/>
          <w:szCs w:val="22"/>
          <w:lang w:val="es-MX"/>
        </w:rPr>
      </w:pPr>
      <w:r>
        <w:rPr>
          <w:rFonts w:ascii="Arial" w:eastAsiaTheme="minorEastAsia" w:hAnsi="Arial" w:cs="Arial"/>
          <w:color w:val="000000" w:themeColor="text1"/>
          <w:sz w:val="22"/>
          <w:szCs w:val="22"/>
          <w:lang w:val="es-MX"/>
        </w:rPr>
        <w:t xml:space="preserve">Se estima para avanzar en la liquidación la siguiente línea de tiempo: </w:t>
      </w:r>
    </w:p>
    <w:p w14:paraId="31CAB2F1" w14:textId="77777777" w:rsidR="009D42A4" w:rsidRDefault="009D42A4" w:rsidP="0063676E">
      <w:pPr>
        <w:ind w:left="-567"/>
        <w:jc w:val="both"/>
        <w:rPr>
          <w:rFonts w:ascii="Arial" w:eastAsiaTheme="minorEastAsia" w:hAnsi="Arial" w:cs="Arial"/>
          <w:color w:val="000000" w:themeColor="text1"/>
          <w:sz w:val="22"/>
          <w:szCs w:val="22"/>
          <w:lang w:val="es-MX"/>
        </w:rPr>
      </w:pPr>
    </w:p>
    <w:p w14:paraId="4A78BE03" w14:textId="386AED5B" w:rsidR="009D42A4" w:rsidRDefault="009D42A4" w:rsidP="009D42A4">
      <w:pPr>
        <w:ind w:left="-567"/>
        <w:jc w:val="center"/>
        <w:rPr>
          <w:rFonts w:ascii="Arial" w:eastAsiaTheme="minorEastAsia" w:hAnsi="Arial" w:cs="Arial"/>
          <w:color w:val="000000" w:themeColor="text1"/>
          <w:sz w:val="22"/>
          <w:szCs w:val="22"/>
          <w:lang w:val="es-MX"/>
        </w:rPr>
      </w:pPr>
      <w:r w:rsidRPr="009D42A4">
        <w:rPr>
          <w:rFonts w:ascii="Arial" w:eastAsiaTheme="minorEastAsia" w:hAnsi="Arial" w:cs="Arial"/>
          <w:noProof/>
          <w:color w:val="000000" w:themeColor="text1"/>
          <w:sz w:val="22"/>
          <w:szCs w:val="22"/>
          <w:lang w:val="es-MX"/>
        </w:rPr>
        <w:lastRenderedPageBreak/>
        <w:drawing>
          <wp:inline distT="0" distB="0" distL="0" distR="0" wp14:anchorId="265AA219" wp14:editId="3173ED2D">
            <wp:extent cx="6302213" cy="3543300"/>
            <wp:effectExtent l="0" t="0" r="3810" b="0"/>
            <wp:docPr id="1184910427"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10894" cy="3548181"/>
                    </a:xfrm>
                    <a:prstGeom prst="rect">
                      <a:avLst/>
                    </a:prstGeom>
                    <a:noFill/>
                    <a:ln>
                      <a:noFill/>
                    </a:ln>
                  </pic:spPr>
                </pic:pic>
              </a:graphicData>
            </a:graphic>
          </wp:inline>
        </w:drawing>
      </w:r>
    </w:p>
    <w:p w14:paraId="324A0D99" w14:textId="77777777" w:rsidR="00B10EB0" w:rsidRDefault="00B10EB0" w:rsidP="009327CB">
      <w:pPr>
        <w:ind w:left="-567"/>
        <w:jc w:val="both"/>
        <w:rPr>
          <w:rFonts w:ascii="Arial" w:eastAsiaTheme="minorEastAsia" w:hAnsi="Arial" w:cs="Arial"/>
          <w:color w:val="000000" w:themeColor="text1"/>
          <w:sz w:val="22"/>
          <w:szCs w:val="22"/>
          <w:lang w:val="es-MX"/>
        </w:rPr>
      </w:pPr>
    </w:p>
    <w:p w14:paraId="7A5AA6F1" w14:textId="77777777" w:rsidR="001B0086" w:rsidRDefault="001B0086" w:rsidP="009327CB">
      <w:pPr>
        <w:ind w:left="-567"/>
        <w:jc w:val="both"/>
        <w:rPr>
          <w:rFonts w:ascii="Arial" w:eastAsiaTheme="minorEastAsia" w:hAnsi="Arial" w:cs="Arial"/>
          <w:color w:val="000000" w:themeColor="text1"/>
          <w:sz w:val="22"/>
          <w:szCs w:val="22"/>
          <w:lang w:val="es-MX"/>
        </w:rPr>
      </w:pPr>
    </w:p>
    <w:p w14:paraId="1D20C76A" w14:textId="265E491D" w:rsidR="001B0086" w:rsidRDefault="001B0086" w:rsidP="00E05081">
      <w:pPr>
        <w:pStyle w:val="Prrafodelista"/>
        <w:numPr>
          <w:ilvl w:val="1"/>
          <w:numId w:val="16"/>
        </w:numPr>
        <w:jc w:val="both"/>
        <w:rPr>
          <w:rFonts w:ascii="Arial" w:eastAsiaTheme="minorEastAsia" w:hAnsi="Arial" w:cs="Arial"/>
          <w:i/>
          <w:iCs/>
          <w:color w:val="000000" w:themeColor="text1"/>
          <w:sz w:val="22"/>
          <w:szCs w:val="22"/>
          <w:lang w:val="es-MX"/>
        </w:rPr>
      </w:pPr>
      <w:r w:rsidRPr="00E05081">
        <w:rPr>
          <w:rFonts w:ascii="Arial" w:eastAsiaTheme="minorEastAsia" w:hAnsi="Arial" w:cs="Arial"/>
          <w:i/>
          <w:iCs/>
          <w:color w:val="000000" w:themeColor="text1"/>
          <w:sz w:val="22"/>
          <w:szCs w:val="22"/>
          <w:lang w:val="es-MX"/>
        </w:rPr>
        <w:t xml:space="preserve">Acciones específicas en materia de gestión documental: </w:t>
      </w:r>
    </w:p>
    <w:p w14:paraId="148729B8" w14:textId="20BF7620" w:rsidR="00213B0C" w:rsidRPr="00213B0C" w:rsidRDefault="00213B0C" w:rsidP="00213B0C">
      <w:pPr>
        <w:ind w:left="1080"/>
        <w:jc w:val="both"/>
        <w:rPr>
          <w:rFonts w:ascii="Arial" w:eastAsiaTheme="minorEastAsia" w:hAnsi="Arial" w:cs="Arial"/>
          <w:b/>
          <w:bCs/>
          <w:i/>
          <w:iCs/>
          <w:color w:val="EE0000"/>
          <w:sz w:val="22"/>
          <w:szCs w:val="22"/>
          <w:lang w:val="es-MX"/>
        </w:rPr>
      </w:pPr>
      <w:r w:rsidRPr="00213B0C">
        <w:rPr>
          <w:rFonts w:ascii="Arial" w:eastAsiaTheme="minorEastAsia" w:hAnsi="Arial" w:cs="Arial"/>
          <w:b/>
          <w:bCs/>
          <w:i/>
          <w:iCs/>
          <w:color w:val="EE0000"/>
          <w:sz w:val="22"/>
          <w:szCs w:val="22"/>
          <w:lang w:val="es-MX"/>
        </w:rPr>
        <w:t>CLAUDIA</w:t>
      </w:r>
    </w:p>
    <w:p w14:paraId="552F6813" w14:textId="77777777" w:rsidR="008131D4" w:rsidRDefault="008131D4" w:rsidP="009327CB">
      <w:pPr>
        <w:ind w:left="-567"/>
        <w:jc w:val="both"/>
        <w:rPr>
          <w:rFonts w:ascii="Arial" w:eastAsiaTheme="minorEastAsia" w:hAnsi="Arial" w:cs="Arial"/>
          <w:color w:val="000000" w:themeColor="text1"/>
          <w:sz w:val="22"/>
          <w:szCs w:val="22"/>
          <w:lang w:val="es-MX"/>
        </w:rPr>
      </w:pPr>
    </w:p>
    <w:tbl>
      <w:tblPr>
        <w:tblStyle w:val="Tablaconcuadrcula"/>
        <w:tblW w:w="0" w:type="auto"/>
        <w:tblInd w:w="-567" w:type="dxa"/>
        <w:tblLook w:val="04A0" w:firstRow="1" w:lastRow="0" w:firstColumn="1" w:lastColumn="0" w:noHBand="0" w:noVBand="1"/>
      </w:tblPr>
      <w:tblGrid>
        <w:gridCol w:w="2689"/>
        <w:gridCol w:w="6139"/>
      </w:tblGrid>
      <w:tr w:rsidR="00C9429C" w:rsidRPr="00622330" w14:paraId="1F99CC4E" w14:textId="77777777" w:rsidTr="008210DB">
        <w:tc>
          <w:tcPr>
            <w:tcW w:w="2689" w:type="dxa"/>
          </w:tcPr>
          <w:p w14:paraId="196F73D3" w14:textId="03666607" w:rsidR="00C9429C" w:rsidRPr="00622330" w:rsidRDefault="00C9429C" w:rsidP="008210DB">
            <w:pPr>
              <w:jc w:val="center"/>
              <w:rPr>
                <w:rFonts w:ascii="Arial" w:eastAsiaTheme="minorEastAsia" w:hAnsi="Arial" w:cs="Arial"/>
                <w:b/>
                <w:bCs/>
                <w:color w:val="000000" w:themeColor="text1"/>
                <w:sz w:val="18"/>
                <w:szCs w:val="18"/>
                <w:lang w:val="es-MX"/>
              </w:rPr>
            </w:pPr>
            <w:r w:rsidRPr="00622330">
              <w:rPr>
                <w:rFonts w:ascii="Arial" w:eastAsiaTheme="minorEastAsia" w:hAnsi="Arial" w:cs="Arial"/>
                <w:b/>
                <w:bCs/>
                <w:color w:val="000000" w:themeColor="text1"/>
                <w:sz w:val="18"/>
                <w:szCs w:val="18"/>
                <w:lang w:val="es-MX"/>
              </w:rPr>
              <w:t>Fase</w:t>
            </w:r>
          </w:p>
        </w:tc>
        <w:tc>
          <w:tcPr>
            <w:tcW w:w="6139" w:type="dxa"/>
          </w:tcPr>
          <w:p w14:paraId="63BB32D4" w14:textId="272BF405" w:rsidR="00C9429C" w:rsidRPr="00622330" w:rsidRDefault="00C9429C" w:rsidP="008210DB">
            <w:pPr>
              <w:jc w:val="center"/>
              <w:rPr>
                <w:rFonts w:ascii="Arial" w:eastAsiaTheme="minorEastAsia" w:hAnsi="Arial" w:cs="Arial"/>
                <w:b/>
                <w:bCs/>
                <w:color w:val="000000" w:themeColor="text1"/>
                <w:sz w:val="18"/>
                <w:szCs w:val="18"/>
                <w:lang w:val="es-MX"/>
              </w:rPr>
            </w:pPr>
            <w:r w:rsidRPr="00622330">
              <w:rPr>
                <w:rFonts w:ascii="Arial" w:eastAsiaTheme="minorEastAsia" w:hAnsi="Arial" w:cs="Arial"/>
                <w:b/>
                <w:bCs/>
                <w:color w:val="000000" w:themeColor="text1"/>
                <w:sz w:val="18"/>
                <w:szCs w:val="18"/>
                <w:lang w:val="es-MX"/>
              </w:rPr>
              <w:t>Actividades Críticas</w:t>
            </w:r>
          </w:p>
        </w:tc>
      </w:tr>
      <w:tr w:rsidR="00C9429C" w:rsidRPr="00622330" w14:paraId="0150A935" w14:textId="77777777" w:rsidTr="008210DB">
        <w:tc>
          <w:tcPr>
            <w:tcW w:w="2689" w:type="dxa"/>
          </w:tcPr>
          <w:p w14:paraId="16F3CE1E" w14:textId="77777777" w:rsidR="00A06ACC" w:rsidRPr="00A06ACC" w:rsidRDefault="00A06ACC" w:rsidP="00A06ACC">
            <w:pPr>
              <w:jc w:val="both"/>
              <w:rPr>
                <w:rFonts w:ascii="Arial" w:eastAsiaTheme="minorEastAsia" w:hAnsi="Arial" w:cs="Arial"/>
                <w:b/>
                <w:bCs/>
                <w:color w:val="000000" w:themeColor="text1"/>
                <w:sz w:val="18"/>
                <w:szCs w:val="18"/>
                <w:lang w:val="es-MX"/>
              </w:rPr>
            </w:pPr>
            <w:r w:rsidRPr="00A06ACC">
              <w:rPr>
                <w:rFonts w:ascii="Arial" w:eastAsiaTheme="minorEastAsia" w:hAnsi="Arial" w:cs="Arial"/>
                <w:b/>
                <w:bCs/>
                <w:color w:val="000000" w:themeColor="text1"/>
                <w:sz w:val="18"/>
                <w:szCs w:val="18"/>
                <w:lang w:val="es-MX"/>
              </w:rPr>
              <w:t>I. Alistamiento y</w:t>
            </w:r>
          </w:p>
          <w:p w14:paraId="6A3F8547" w14:textId="2237090D" w:rsidR="00C9429C" w:rsidRPr="00622330" w:rsidRDefault="00A06ACC" w:rsidP="00A06ACC">
            <w:pPr>
              <w:jc w:val="both"/>
              <w:rPr>
                <w:rFonts w:ascii="Arial" w:eastAsiaTheme="minorEastAsia" w:hAnsi="Arial" w:cs="Arial"/>
                <w:color w:val="000000" w:themeColor="text1"/>
                <w:sz w:val="18"/>
                <w:szCs w:val="18"/>
                <w:lang w:val="es-MX"/>
              </w:rPr>
            </w:pPr>
            <w:r w:rsidRPr="00622330">
              <w:rPr>
                <w:rFonts w:ascii="Arial" w:eastAsiaTheme="minorEastAsia" w:hAnsi="Arial" w:cs="Arial"/>
                <w:b/>
                <w:bCs/>
                <w:color w:val="000000" w:themeColor="text1"/>
                <w:sz w:val="18"/>
                <w:szCs w:val="18"/>
                <w:lang w:val="es-MX"/>
              </w:rPr>
              <w:t>Diagnóstico</w:t>
            </w:r>
          </w:p>
        </w:tc>
        <w:tc>
          <w:tcPr>
            <w:tcW w:w="6139" w:type="dxa"/>
          </w:tcPr>
          <w:p w14:paraId="21E8F6CC" w14:textId="5E1E8266" w:rsidR="00C9429C" w:rsidRPr="00622330" w:rsidRDefault="00A06ACC" w:rsidP="00B62690">
            <w:pPr>
              <w:jc w:val="both"/>
              <w:rPr>
                <w:rFonts w:ascii="Arial" w:eastAsiaTheme="minorEastAsia" w:hAnsi="Arial" w:cs="Arial"/>
                <w:color w:val="000000" w:themeColor="text1"/>
                <w:sz w:val="18"/>
                <w:szCs w:val="18"/>
                <w:lang w:val="es-MX"/>
              </w:rPr>
            </w:pPr>
            <w:r w:rsidRPr="00A06ACC">
              <w:rPr>
                <w:rFonts w:ascii="Arial" w:eastAsiaTheme="minorEastAsia" w:hAnsi="Arial" w:cs="Arial"/>
                <w:color w:val="000000" w:themeColor="text1"/>
                <w:sz w:val="18"/>
                <w:szCs w:val="18"/>
                <w:lang w:val="es-MX"/>
              </w:rPr>
              <w:t>Consolidación de mesas de trabajo (2 y 12 de feb) y validación de</w:t>
            </w:r>
            <w:r w:rsidR="00B62690" w:rsidRPr="00622330">
              <w:rPr>
                <w:rFonts w:ascii="Arial" w:eastAsiaTheme="minorEastAsia" w:hAnsi="Arial" w:cs="Arial"/>
                <w:color w:val="000000" w:themeColor="text1"/>
                <w:sz w:val="18"/>
                <w:szCs w:val="18"/>
                <w:lang w:val="es-MX"/>
              </w:rPr>
              <w:t xml:space="preserve"> </w:t>
            </w:r>
            <w:r w:rsidRPr="00622330">
              <w:rPr>
                <w:rFonts w:ascii="Arial" w:eastAsiaTheme="minorEastAsia" w:hAnsi="Arial" w:cs="Arial"/>
                <w:color w:val="000000" w:themeColor="text1"/>
                <w:sz w:val="18"/>
                <w:szCs w:val="18"/>
                <w:lang w:val="es-MX"/>
              </w:rPr>
              <w:t>sitios de almacenamiento.</w:t>
            </w:r>
          </w:p>
        </w:tc>
      </w:tr>
      <w:tr w:rsidR="00C9429C" w:rsidRPr="00622330" w14:paraId="308B283D" w14:textId="77777777" w:rsidTr="008210DB">
        <w:tc>
          <w:tcPr>
            <w:tcW w:w="2689" w:type="dxa"/>
          </w:tcPr>
          <w:p w14:paraId="2F56BD2A" w14:textId="77777777" w:rsidR="00B62690" w:rsidRPr="00B62690" w:rsidRDefault="00B62690" w:rsidP="00B62690">
            <w:pPr>
              <w:jc w:val="both"/>
              <w:rPr>
                <w:rFonts w:ascii="Arial" w:eastAsiaTheme="minorEastAsia" w:hAnsi="Arial" w:cs="Arial"/>
                <w:b/>
                <w:bCs/>
                <w:color w:val="000000" w:themeColor="text1"/>
                <w:sz w:val="18"/>
                <w:szCs w:val="18"/>
                <w:lang w:val="es-MX"/>
              </w:rPr>
            </w:pPr>
            <w:r w:rsidRPr="00B62690">
              <w:rPr>
                <w:rFonts w:ascii="Arial" w:eastAsiaTheme="minorEastAsia" w:hAnsi="Arial" w:cs="Arial"/>
                <w:b/>
                <w:bCs/>
                <w:color w:val="000000" w:themeColor="text1"/>
                <w:sz w:val="18"/>
                <w:szCs w:val="18"/>
                <w:lang w:val="es-MX"/>
              </w:rPr>
              <w:t>II. Presentación Plan de</w:t>
            </w:r>
          </w:p>
          <w:p w14:paraId="0E781978" w14:textId="2DA3BDEA" w:rsidR="00C9429C" w:rsidRPr="00622330" w:rsidRDefault="00B62690" w:rsidP="00B62690">
            <w:pPr>
              <w:jc w:val="both"/>
              <w:rPr>
                <w:rFonts w:ascii="Arial" w:eastAsiaTheme="minorEastAsia" w:hAnsi="Arial" w:cs="Arial"/>
                <w:color w:val="000000" w:themeColor="text1"/>
                <w:sz w:val="18"/>
                <w:szCs w:val="18"/>
                <w:lang w:val="es-MX"/>
              </w:rPr>
            </w:pPr>
            <w:r w:rsidRPr="00622330">
              <w:rPr>
                <w:rFonts w:ascii="Arial" w:eastAsiaTheme="minorEastAsia" w:hAnsi="Arial" w:cs="Arial"/>
                <w:b/>
                <w:bCs/>
                <w:color w:val="000000" w:themeColor="text1"/>
                <w:sz w:val="18"/>
                <w:szCs w:val="18"/>
                <w:lang w:val="es-MX"/>
              </w:rPr>
              <w:t>Trabajo de Intervención</w:t>
            </w:r>
          </w:p>
        </w:tc>
        <w:tc>
          <w:tcPr>
            <w:tcW w:w="6139" w:type="dxa"/>
          </w:tcPr>
          <w:p w14:paraId="3075C173" w14:textId="465CDE59" w:rsidR="00C9429C" w:rsidRPr="00622330" w:rsidRDefault="00B62690" w:rsidP="00B62690">
            <w:pPr>
              <w:jc w:val="both"/>
              <w:rPr>
                <w:rFonts w:ascii="Arial" w:eastAsiaTheme="minorEastAsia" w:hAnsi="Arial" w:cs="Arial"/>
                <w:color w:val="000000" w:themeColor="text1"/>
                <w:sz w:val="18"/>
                <w:szCs w:val="18"/>
                <w:lang w:val="es-MX"/>
              </w:rPr>
            </w:pPr>
            <w:r w:rsidRPr="00B62690">
              <w:rPr>
                <w:rFonts w:ascii="Arial" w:eastAsiaTheme="minorEastAsia" w:hAnsi="Arial" w:cs="Arial"/>
                <w:color w:val="000000" w:themeColor="text1"/>
                <w:sz w:val="18"/>
                <w:szCs w:val="18"/>
                <w:lang w:val="es-MX"/>
              </w:rPr>
              <w:t>El equipo de archivo proyectará un plan de trabajo para ser</w:t>
            </w:r>
            <w:r w:rsidRPr="00622330">
              <w:rPr>
                <w:rFonts w:ascii="Arial" w:eastAsiaTheme="minorEastAsia" w:hAnsi="Arial" w:cs="Arial"/>
                <w:color w:val="000000" w:themeColor="text1"/>
                <w:sz w:val="18"/>
                <w:szCs w:val="18"/>
                <w:lang w:val="es-MX"/>
              </w:rPr>
              <w:t xml:space="preserve"> </w:t>
            </w:r>
            <w:r w:rsidRPr="00B62690">
              <w:rPr>
                <w:rFonts w:ascii="Arial" w:eastAsiaTheme="minorEastAsia" w:hAnsi="Arial" w:cs="Arial"/>
                <w:color w:val="000000" w:themeColor="text1"/>
                <w:sz w:val="18"/>
                <w:szCs w:val="18"/>
                <w:lang w:val="es-MX"/>
              </w:rPr>
              <w:t xml:space="preserve">presentado a la </w:t>
            </w:r>
            <w:proofErr w:type="gramStart"/>
            <w:r w:rsidRPr="00B62690">
              <w:rPr>
                <w:rFonts w:ascii="Arial" w:eastAsiaTheme="minorEastAsia" w:hAnsi="Arial" w:cs="Arial"/>
                <w:color w:val="000000" w:themeColor="text1"/>
                <w:sz w:val="18"/>
                <w:szCs w:val="18"/>
                <w:lang w:val="es-MX"/>
              </w:rPr>
              <w:t>Directora</w:t>
            </w:r>
            <w:proofErr w:type="gramEnd"/>
            <w:r w:rsidRPr="00B62690">
              <w:rPr>
                <w:rFonts w:ascii="Arial" w:eastAsiaTheme="minorEastAsia" w:hAnsi="Arial" w:cs="Arial"/>
                <w:color w:val="000000" w:themeColor="text1"/>
                <w:sz w:val="18"/>
                <w:szCs w:val="18"/>
                <w:lang w:val="es-MX"/>
              </w:rPr>
              <w:t xml:space="preserve"> DGBPR y ser avalado para</w:t>
            </w:r>
            <w:r w:rsidRPr="00622330">
              <w:rPr>
                <w:rFonts w:ascii="Arial" w:eastAsiaTheme="minorEastAsia" w:hAnsi="Arial" w:cs="Arial"/>
                <w:color w:val="000000" w:themeColor="text1"/>
                <w:sz w:val="18"/>
                <w:szCs w:val="18"/>
                <w:lang w:val="es-MX"/>
              </w:rPr>
              <w:t xml:space="preserve"> posteriormente iniciar su ejecución (primera semana de marzo)</w:t>
            </w:r>
          </w:p>
        </w:tc>
      </w:tr>
      <w:tr w:rsidR="00B62690" w:rsidRPr="00622330" w14:paraId="3BD41EDE" w14:textId="77777777" w:rsidTr="008210DB">
        <w:trPr>
          <w:trHeight w:val="624"/>
        </w:trPr>
        <w:tc>
          <w:tcPr>
            <w:tcW w:w="2689" w:type="dxa"/>
          </w:tcPr>
          <w:p w14:paraId="34A67534" w14:textId="77777777" w:rsidR="009D0C17" w:rsidRPr="009D0C17" w:rsidRDefault="009D0C17" w:rsidP="009D0C17">
            <w:pPr>
              <w:jc w:val="both"/>
              <w:rPr>
                <w:rFonts w:ascii="Arial" w:eastAsiaTheme="minorEastAsia" w:hAnsi="Arial" w:cs="Arial"/>
                <w:b/>
                <w:bCs/>
                <w:color w:val="000000" w:themeColor="text1"/>
                <w:sz w:val="18"/>
                <w:szCs w:val="18"/>
                <w:lang w:val="es-MX"/>
              </w:rPr>
            </w:pPr>
            <w:r w:rsidRPr="009D0C17">
              <w:rPr>
                <w:rFonts w:ascii="Arial" w:eastAsiaTheme="minorEastAsia" w:hAnsi="Arial" w:cs="Arial"/>
                <w:b/>
                <w:bCs/>
                <w:color w:val="000000" w:themeColor="text1"/>
                <w:sz w:val="18"/>
                <w:szCs w:val="18"/>
                <w:lang w:val="es-MX"/>
              </w:rPr>
              <w:t>II. Intervención Técnica</w:t>
            </w:r>
          </w:p>
          <w:p w14:paraId="229FD7D6" w14:textId="70EB1073" w:rsidR="00B62690" w:rsidRPr="00622330" w:rsidRDefault="009D0C17" w:rsidP="009D0C17">
            <w:pPr>
              <w:jc w:val="both"/>
              <w:rPr>
                <w:rFonts w:ascii="Arial" w:eastAsiaTheme="minorEastAsia" w:hAnsi="Arial" w:cs="Arial"/>
                <w:b/>
                <w:bCs/>
                <w:color w:val="000000" w:themeColor="text1"/>
                <w:sz w:val="18"/>
                <w:szCs w:val="18"/>
                <w:lang w:val="es-MX"/>
              </w:rPr>
            </w:pPr>
            <w:r w:rsidRPr="00622330">
              <w:rPr>
                <w:rFonts w:ascii="Arial" w:eastAsiaTheme="minorEastAsia" w:hAnsi="Arial" w:cs="Arial"/>
                <w:b/>
                <w:bCs/>
                <w:color w:val="000000" w:themeColor="text1"/>
                <w:sz w:val="18"/>
                <w:szCs w:val="18"/>
                <w:lang w:val="es-MX"/>
              </w:rPr>
              <w:t>(Fondo Acumulado)</w:t>
            </w:r>
          </w:p>
        </w:tc>
        <w:tc>
          <w:tcPr>
            <w:tcW w:w="6139" w:type="dxa"/>
          </w:tcPr>
          <w:p w14:paraId="44FB2F2E" w14:textId="77777777" w:rsidR="00B62690" w:rsidRPr="00622330" w:rsidRDefault="009D0C17" w:rsidP="009D0C17">
            <w:pPr>
              <w:jc w:val="both"/>
              <w:rPr>
                <w:rFonts w:ascii="Arial" w:eastAsiaTheme="minorEastAsia" w:hAnsi="Arial" w:cs="Arial"/>
                <w:color w:val="000000" w:themeColor="text1"/>
                <w:sz w:val="18"/>
                <w:szCs w:val="18"/>
                <w:lang w:val="es-MX"/>
              </w:rPr>
            </w:pPr>
            <w:r w:rsidRPr="009D0C17">
              <w:rPr>
                <w:rFonts w:ascii="Arial" w:eastAsiaTheme="minorEastAsia" w:hAnsi="Arial" w:cs="Arial"/>
                <w:color w:val="000000" w:themeColor="text1"/>
                <w:sz w:val="18"/>
                <w:szCs w:val="18"/>
                <w:lang w:val="es-MX"/>
              </w:rPr>
              <w:t>Limpieza, revisión documental, ordenación y foliación de los</w:t>
            </w:r>
            <w:r w:rsidRPr="00622330">
              <w:rPr>
                <w:rFonts w:ascii="Arial" w:eastAsiaTheme="minorEastAsia" w:hAnsi="Arial" w:cs="Arial"/>
                <w:color w:val="000000" w:themeColor="text1"/>
                <w:sz w:val="18"/>
                <w:szCs w:val="18"/>
                <w:lang w:val="es-MX"/>
              </w:rPr>
              <w:t xml:space="preserve"> expedientes físicos.</w:t>
            </w:r>
          </w:p>
          <w:p w14:paraId="6927EDA1" w14:textId="4129FFC5" w:rsidR="009D0C17" w:rsidRPr="00622330" w:rsidRDefault="009D0C17" w:rsidP="009D0C17">
            <w:pPr>
              <w:jc w:val="both"/>
              <w:rPr>
                <w:rFonts w:ascii="Arial" w:eastAsiaTheme="minorEastAsia" w:hAnsi="Arial" w:cs="Arial"/>
                <w:color w:val="000000" w:themeColor="text1"/>
                <w:sz w:val="18"/>
                <w:szCs w:val="18"/>
                <w:lang w:val="es-MX"/>
              </w:rPr>
            </w:pPr>
          </w:p>
        </w:tc>
      </w:tr>
      <w:tr w:rsidR="009D0C17" w:rsidRPr="00622330" w14:paraId="06BD7781" w14:textId="77777777" w:rsidTr="008210DB">
        <w:tc>
          <w:tcPr>
            <w:tcW w:w="2689" w:type="dxa"/>
          </w:tcPr>
          <w:p w14:paraId="3BC5193C" w14:textId="77777777" w:rsidR="008131D4" w:rsidRPr="008131D4" w:rsidRDefault="008131D4" w:rsidP="008131D4">
            <w:pPr>
              <w:jc w:val="both"/>
              <w:rPr>
                <w:rFonts w:ascii="Arial" w:eastAsiaTheme="minorEastAsia" w:hAnsi="Arial" w:cs="Arial"/>
                <w:b/>
                <w:bCs/>
                <w:color w:val="000000" w:themeColor="text1"/>
                <w:sz w:val="18"/>
                <w:szCs w:val="18"/>
                <w:lang w:val="es-MX"/>
              </w:rPr>
            </w:pPr>
            <w:r w:rsidRPr="008131D4">
              <w:rPr>
                <w:rFonts w:ascii="Arial" w:eastAsiaTheme="minorEastAsia" w:hAnsi="Arial" w:cs="Arial"/>
                <w:b/>
                <w:bCs/>
                <w:color w:val="000000" w:themeColor="text1"/>
                <w:sz w:val="18"/>
                <w:szCs w:val="18"/>
                <w:lang w:val="es-MX"/>
              </w:rPr>
              <w:t>III. Integración y</w:t>
            </w:r>
          </w:p>
          <w:p w14:paraId="04698E3D" w14:textId="1365E3A6" w:rsidR="009D0C17" w:rsidRPr="00622330" w:rsidRDefault="008131D4" w:rsidP="008131D4">
            <w:pPr>
              <w:jc w:val="both"/>
              <w:rPr>
                <w:rFonts w:ascii="Arial" w:eastAsiaTheme="minorEastAsia" w:hAnsi="Arial" w:cs="Arial"/>
                <w:b/>
                <w:bCs/>
                <w:color w:val="000000" w:themeColor="text1"/>
                <w:sz w:val="18"/>
                <w:szCs w:val="18"/>
                <w:lang w:val="es-MX"/>
              </w:rPr>
            </w:pPr>
            <w:r w:rsidRPr="00622330">
              <w:rPr>
                <w:rFonts w:ascii="Arial" w:eastAsiaTheme="minorEastAsia" w:hAnsi="Arial" w:cs="Arial"/>
                <w:b/>
                <w:bCs/>
                <w:color w:val="000000" w:themeColor="text1"/>
                <w:sz w:val="18"/>
                <w:szCs w:val="18"/>
                <w:lang w:val="es-MX"/>
              </w:rPr>
              <w:t>Depuración</w:t>
            </w:r>
          </w:p>
        </w:tc>
        <w:tc>
          <w:tcPr>
            <w:tcW w:w="6139" w:type="dxa"/>
          </w:tcPr>
          <w:p w14:paraId="60826DDC" w14:textId="2447586E" w:rsidR="009D0C17" w:rsidRPr="00622330" w:rsidRDefault="008131D4" w:rsidP="008131D4">
            <w:pPr>
              <w:jc w:val="both"/>
              <w:rPr>
                <w:rFonts w:ascii="Arial" w:eastAsiaTheme="minorEastAsia" w:hAnsi="Arial" w:cs="Arial"/>
                <w:color w:val="000000" w:themeColor="text1"/>
                <w:sz w:val="18"/>
                <w:szCs w:val="18"/>
                <w:lang w:val="es-MX"/>
              </w:rPr>
            </w:pPr>
            <w:r w:rsidRPr="008131D4">
              <w:rPr>
                <w:rFonts w:ascii="Arial" w:eastAsiaTheme="minorEastAsia" w:hAnsi="Arial" w:cs="Arial"/>
                <w:color w:val="000000" w:themeColor="text1"/>
                <w:sz w:val="18"/>
                <w:szCs w:val="18"/>
                <w:lang w:val="es-MX"/>
              </w:rPr>
              <w:t>Depuración de duplicados (sin eliminación), rotulación y creación</w:t>
            </w:r>
            <w:r w:rsidRPr="00622330">
              <w:rPr>
                <w:rFonts w:ascii="Arial" w:eastAsiaTheme="minorEastAsia" w:hAnsi="Arial" w:cs="Arial"/>
                <w:color w:val="000000" w:themeColor="text1"/>
                <w:sz w:val="18"/>
                <w:szCs w:val="18"/>
                <w:lang w:val="es-MX"/>
              </w:rPr>
              <w:t xml:space="preserve"> de referencias cruzadas digitales.</w:t>
            </w:r>
          </w:p>
        </w:tc>
      </w:tr>
      <w:tr w:rsidR="009D0C17" w:rsidRPr="00622330" w14:paraId="5C916DA0" w14:textId="77777777" w:rsidTr="008210DB">
        <w:tc>
          <w:tcPr>
            <w:tcW w:w="2689" w:type="dxa"/>
          </w:tcPr>
          <w:p w14:paraId="46AEEBE1" w14:textId="585E81A5" w:rsidR="009D0C17" w:rsidRPr="00622330" w:rsidRDefault="008131D4" w:rsidP="009D0C17">
            <w:pPr>
              <w:jc w:val="both"/>
              <w:rPr>
                <w:rFonts w:ascii="Arial" w:eastAsiaTheme="minorEastAsia" w:hAnsi="Arial" w:cs="Arial"/>
                <w:b/>
                <w:bCs/>
                <w:color w:val="000000" w:themeColor="text1"/>
                <w:sz w:val="18"/>
                <w:szCs w:val="18"/>
                <w:lang w:val="es-MX"/>
              </w:rPr>
            </w:pPr>
            <w:r w:rsidRPr="00622330">
              <w:rPr>
                <w:rFonts w:ascii="Arial" w:eastAsiaTheme="minorEastAsia" w:hAnsi="Arial" w:cs="Arial"/>
                <w:b/>
                <w:bCs/>
                <w:color w:val="000000" w:themeColor="text1"/>
                <w:sz w:val="18"/>
                <w:szCs w:val="18"/>
                <w:lang w:val="es-MX"/>
              </w:rPr>
              <w:t>IV. Registro y Cierre</w:t>
            </w:r>
          </w:p>
        </w:tc>
        <w:tc>
          <w:tcPr>
            <w:tcW w:w="6139" w:type="dxa"/>
          </w:tcPr>
          <w:p w14:paraId="3F9BF1A0" w14:textId="4E7D2F4F" w:rsidR="009D0C17" w:rsidRPr="00622330" w:rsidRDefault="008131D4" w:rsidP="008131D4">
            <w:pPr>
              <w:jc w:val="both"/>
              <w:rPr>
                <w:rFonts w:ascii="Arial" w:eastAsiaTheme="minorEastAsia" w:hAnsi="Arial" w:cs="Arial"/>
                <w:color w:val="000000" w:themeColor="text1"/>
                <w:sz w:val="18"/>
                <w:szCs w:val="18"/>
                <w:lang w:val="es-MX"/>
              </w:rPr>
            </w:pPr>
            <w:r w:rsidRPr="008131D4">
              <w:rPr>
                <w:rFonts w:ascii="Arial" w:eastAsiaTheme="minorEastAsia" w:hAnsi="Arial" w:cs="Arial"/>
                <w:color w:val="000000" w:themeColor="text1"/>
                <w:sz w:val="18"/>
                <w:szCs w:val="18"/>
                <w:lang w:val="es-MX"/>
              </w:rPr>
              <w:t>Diligenciamiento de los FUID y validación jurídica de cláusulas</w:t>
            </w:r>
            <w:r w:rsidRPr="00622330">
              <w:rPr>
                <w:rFonts w:ascii="Arial" w:eastAsiaTheme="minorEastAsia" w:hAnsi="Arial" w:cs="Arial"/>
                <w:color w:val="000000" w:themeColor="text1"/>
                <w:sz w:val="18"/>
                <w:szCs w:val="18"/>
                <w:lang w:val="es-MX"/>
              </w:rPr>
              <w:t xml:space="preserve"> contractuales de entrega.</w:t>
            </w:r>
          </w:p>
        </w:tc>
      </w:tr>
      <w:tr w:rsidR="008131D4" w:rsidRPr="00622330" w14:paraId="7F839E09" w14:textId="77777777" w:rsidTr="008210DB">
        <w:tc>
          <w:tcPr>
            <w:tcW w:w="2689" w:type="dxa"/>
          </w:tcPr>
          <w:p w14:paraId="5E4455C1" w14:textId="77777777" w:rsidR="008210DB" w:rsidRPr="008210DB" w:rsidRDefault="008210DB" w:rsidP="008210DB">
            <w:pPr>
              <w:jc w:val="both"/>
              <w:rPr>
                <w:rFonts w:ascii="Arial" w:eastAsiaTheme="minorEastAsia" w:hAnsi="Arial" w:cs="Arial"/>
                <w:b/>
                <w:bCs/>
                <w:color w:val="000000" w:themeColor="text1"/>
                <w:sz w:val="18"/>
                <w:szCs w:val="18"/>
                <w:lang w:val="es-MX"/>
              </w:rPr>
            </w:pPr>
            <w:r w:rsidRPr="008210DB">
              <w:rPr>
                <w:rFonts w:ascii="Arial" w:eastAsiaTheme="minorEastAsia" w:hAnsi="Arial" w:cs="Arial"/>
                <w:b/>
                <w:bCs/>
                <w:color w:val="000000" w:themeColor="text1"/>
                <w:sz w:val="18"/>
                <w:szCs w:val="18"/>
                <w:lang w:val="es-MX"/>
              </w:rPr>
              <w:t>V. Transferencia</w:t>
            </w:r>
          </w:p>
          <w:p w14:paraId="3AB8A98C" w14:textId="7E9ABE8D" w:rsidR="008131D4" w:rsidRPr="00622330" w:rsidRDefault="008210DB" w:rsidP="008210DB">
            <w:pPr>
              <w:jc w:val="both"/>
              <w:rPr>
                <w:rFonts w:ascii="Arial" w:eastAsiaTheme="minorEastAsia" w:hAnsi="Arial" w:cs="Arial"/>
                <w:b/>
                <w:bCs/>
                <w:color w:val="000000" w:themeColor="text1"/>
                <w:sz w:val="18"/>
                <w:szCs w:val="18"/>
                <w:lang w:val="es-MX"/>
              </w:rPr>
            </w:pPr>
            <w:r w:rsidRPr="00622330">
              <w:rPr>
                <w:rFonts w:ascii="Arial" w:eastAsiaTheme="minorEastAsia" w:hAnsi="Arial" w:cs="Arial"/>
                <w:b/>
                <w:bCs/>
                <w:color w:val="000000" w:themeColor="text1"/>
                <w:sz w:val="18"/>
                <w:szCs w:val="18"/>
                <w:lang w:val="es-MX"/>
              </w:rPr>
              <w:t>Documental</w:t>
            </w:r>
          </w:p>
        </w:tc>
        <w:tc>
          <w:tcPr>
            <w:tcW w:w="6139" w:type="dxa"/>
          </w:tcPr>
          <w:p w14:paraId="594D24A4" w14:textId="2C042571" w:rsidR="008131D4" w:rsidRPr="00622330" w:rsidRDefault="008210DB" w:rsidP="008210DB">
            <w:pPr>
              <w:jc w:val="both"/>
              <w:rPr>
                <w:rFonts w:ascii="Arial" w:eastAsiaTheme="minorEastAsia" w:hAnsi="Arial" w:cs="Arial"/>
                <w:color w:val="000000" w:themeColor="text1"/>
                <w:sz w:val="18"/>
                <w:szCs w:val="18"/>
                <w:lang w:val="es-MX"/>
              </w:rPr>
            </w:pPr>
            <w:r w:rsidRPr="008210DB">
              <w:rPr>
                <w:rFonts w:ascii="Arial" w:eastAsiaTheme="minorEastAsia" w:hAnsi="Arial" w:cs="Arial"/>
                <w:color w:val="000000" w:themeColor="text1"/>
                <w:sz w:val="18"/>
                <w:szCs w:val="18"/>
                <w:lang w:val="es-MX"/>
              </w:rPr>
              <w:t>Entrega formal a la oficina de contratos y traslado al archivo central</w:t>
            </w:r>
            <w:r w:rsidRPr="00622330">
              <w:rPr>
                <w:rFonts w:ascii="Arial" w:eastAsiaTheme="minorEastAsia" w:hAnsi="Arial" w:cs="Arial"/>
                <w:color w:val="000000" w:themeColor="text1"/>
                <w:sz w:val="18"/>
                <w:szCs w:val="18"/>
                <w:lang w:val="es-MX"/>
              </w:rPr>
              <w:t xml:space="preserve"> para custodia.</w:t>
            </w:r>
          </w:p>
        </w:tc>
      </w:tr>
    </w:tbl>
    <w:p w14:paraId="44115DAE" w14:textId="12BC2471" w:rsidR="00BA2113" w:rsidRPr="00622330" w:rsidRDefault="00622330" w:rsidP="009327CB">
      <w:pPr>
        <w:ind w:left="-567"/>
        <w:jc w:val="both"/>
        <w:rPr>
          <w:rFonts w:ascii="Arial" w:eastAsiaTheme="minorEastAsia" w:hAnsi="Arial" w:cs="Arial"/>
          <w:color w:val="000000" w:themeColor="text1"/>
          <w:sz w:val="18"/>
          <w:szCs w:val="18"/>
          <w:lang w:val="es-MX"/>
        </w:rPr>
      </w:pPr>
      <w:r w:rsidRPr="00622330">
        <w:rPr>
          <w:rFonts w:ascii="Arial" w:eastAsiaTheme="minorEastAsia" w:hAnsi="Arial" w:cs="Arial"/>
          <w:color w:val="000000" w:themeColor="text1"/>
          <w:sz w:val="18"/>
          <w:szCs w:val="18"/>
          <w:lang w:val="es-MX"/>
        </w:rPr>
        <w:t>Fuente: Elaboración Propia. Equipo Técnico Dirección de Gestión de Bienes Públicos Rurales- DGBPR</w:t>
      </w:r>
    </w:p>
    <w:p w14:paraId="5B41DCBA" w14:textId="77777777" w:rsidR="00984E2B" w:rsidRDefault="00984E2B" w:rsidP="00CB24C7">
      <w:pPr>
        <w:ind w:left="-567"/>
        <w:jc w:val="both"/>
        <w:rPr>
          <w:rFonts w:ascii="Arial" w:eastAsiaTheme="minorEastAsia" w:hAnsi="Arial" w:cs="Arial"/>
          <w:b/>
          <w:bCs/>
          <w:color w:val="4472C4" w:themeColor="accent1"/>
          <w:sz w:val="22"/>
          <w:szCs w:val="22"/>
        </w:rPr>
      </w:pPr>
    </w:p>
    <w:p w14:paraId="6E0D6AEE" w14:textId="1DBF964C" w:rsidR="003F3316" w:rsidRPr="00E05081" w:rsidRDefault="003F3316" w:rsidP="00E05081">
      <w:pPr>
        <w:pStyle w:val="Prrafodelista"/>
        <w:numPr>
          <w:ilvl w:val="1"/>
          <w:numId w:val="16"/>
        </w:numPr>
        <w:jc w:val="both"/>
        <w:rPr>
          <w:rFonts w:ascii="Arial" w:eastAsiaTheme="minorEastAsia" w:hAnsi="Arial" w:cs="Arial"/>
          <w:i/>
          <w:iCs/>
          <w:color w:val="000000" w:themeColor="text1"/>
          <w:sz w:val="22"/>
          <w:szCs w:val="22"/>
          <w:lang w:val="es-MX"/>
        </w:rPr>
      </w:pPr>
      <w:r w:rsidRPr="00E05081">
        <w:rPr>
          <w:rFonts w:ascii="Arial" w:eastAsiaTheme="minorEastAsia" w:hAnsi="Arial" w:cs="Arial"/>
          <w:i/>
          <w:iCs/>
          <w:color w:val="000000" w:themeColor="text1"/>
          <w:sz w:val="22"/>
          <w:szCs w:val="22"/>
          <w:lang w:val="es-MX"/>
        </w:rPr>
        <w:t xml:space="preserve">Acciones específicas en materia jurídica: </w:t>
      </w:r>
    </w:p>
    <w:p w14:paraId="203A0CE5" w14:textId="57749855" w:rsidR="003F3316" w:rsidRPr="00213B0C" w:rsidRDefault="00213B0C" w:rsidP="00CB24C7">
      <w:pPr>
        <w:ind w:left="-567"/>
        <w:jc w:val="both"/>
        <w:rPr>
          <w:rFonts w:ascii="Arial" w:eastAsiaTheme="minorEastAsia" w:hAnsi="Arial" w:cs="Arial"/>
          <w:b/>
          <w:bCs/>
          <w:color w:val="EE0000"/>
          <w:sz w:val="22"/>
          <w:szCs w:val="22"/>
          <w:lang w:val="es-MX"/>
        </w:rPr>
      </w:pPr>
      <w:r w:rsidRPr="00213B0C">
        <w:rPr>
          <w:rFonts w:ascii="Arial" w:eastAsiaTheme="minorEastAsia" w:hAnsi="Arial" w:cs="Arial"/>
          <w:b/>
          <w:bCs/>
          <w:color w:val="EE0000"/>
          <w:sz w:val="22"/>
          <w:szCs w:val="22"/>
          <w:lang w:val="es-MX"/>
        </w:rPr>
        <w:t>GLADYS</w:t>
      </w:r>
    </w:p>
    <w:p w14:paraId="792B7A4A" w14:textId="3BA70406" w:rsidR="009A483E" w:rsidRDefault="009A483E" w:rsidP="00FE263B">
      <w:pPr>
        <w:ind w:left="-567"/>
        <w:jc w:val="both"/>
        <w:rPr>
          <w:rFonts w:ascii="Arial" w:eastAsiaTheme="minorEastAsia" w:hAnsi="Arial" w:cs="Arial"/>
          <w:b/>
          <w:bCs/>
          <w:color w:val="4472C4" w:themeColor="accent1"/>
          <w:sz w:val="22"/>
          <w:szCs w:val="22"/>
          <w:lang w:val="es-MX"/>
        </w:rPr>
      </w:pPr>
      <w:r>
        <w:rPr>
          <w:rFonts w:ascii="Arial" w:eastAsiaTheme="minorEastAsia" w:hAnsi="Arial" w:cs="Arial"/>
          <w:color w:val="000000" w:themeColor="text1"/>
          <w:sz w:val="22"/>
          <w:szCs w:val="22"/>
          <w:lang w:val="es-MX"/>
        </w:rPr>
        <w:t xml:space="preserve">Solicitudes de información a </w:t>
      </w:r>
      <w:proofErr w:type="spellStart"/>
      <w:r>
        <w:rPr>
          <w:rFonts w:ascii="Arial" w:eastAsiaTheme="minorEastAsia" w:hAnsi="Arial" w:cs="Arial"/>
          <w:color w:val="000000" w:themeColor="text1"/>
          <w:sz w:val="22"/>
          <w:szCs w:val="22"/>
          <w:lang w:val="es-MX"/>
        </w:rPr>
        <w:t>Fiduagraria</w:t>
      </w:r>
      <w:proofErr w:type="spellEnd"/>
      <w:r>
        <w:rPr>
          <w:rFonts w:ascii="Arial" w:eastAsiaTheme="minorEastAsia" w:hAnsi="Arial" w:cs="Arial"/>
          <w:color w:val="000000" w:themeColor="text1"/>
          <w:sz w:val="22"/>
          <w:szCs w:val="22"/>
          <w:lang w:val="es-MX"/>
        </w:rPr>
        <w:t xml:space="preserve"> </w:t>
      </w:r>
      <w:r w:rsidR="00FE263B">
        <w:rPr>
          <w:rFonts w:ascii="Arial" w:eastAsiaTheme="minorEastAsia" w:hAnsi="Arial" w:cs="Arial"/>
          <w:color w:val="000000" w:themeColor="text1"/>
          <w:sz w:val="22"/>
          <w:szCs w:val="22"/>
          <w:lang w:val="es-MX"/>
        </w:rPr>
        <w:t>sobre p</w:t>
      </w:r>
      <w:r w:rsidR="00FE263B" w:rsidRPr="00FE263B">
        <w:rPr>
          <w:rFonts w:ascii="Arial" w:eastAsiaTheme="minorEastAsia" w:hAnsi="Arial" w:cs="Arial"/>
          <w:color w:val="000000" w:themeColor="text1"/>
          <w:sz w:val="22"/>
          <w:szCs w:val="22"/>
          <w:lang w:val="es-MX"/>
        </w:rPr>
        <w:t xml:space="preserve">royecto de </w:t>
      </w:r>
      <w:r w:rsidR="00FE263B">
        <w:rPr>
          <w:rFonts w:ascii="Arial" w:eastAsiaTheme="minorEastAsia" w:hAnsi="Arial" w:cs="Arial"/>
          <w:color w:val="000000" w:themeColor="text1"/>
          <w:sz w:val="22"/>
          <w:szCs w:val="22"/>
          <w:lang w:val="es-MX"/>
        </w:rPr>
        <w:t>a</w:t>
      </w:r>
      <w:r w:rsidR="00FE263B" w:rsidRPr="00FE263B">
        <w:rPr>
          <w:rFonts w:ascii="Arial" w:eastAsiaTheme="minorEastAsia" w:hAnsi="Arial" w:cs="Arial"/>
          <w:color w:val="000000" w:themeColor="text1"/>
          <w:sz w:val="22"/>
          <w:szCs w:val="22"/>
          <w:lang w:val="es-MX"/>
        </w:rPr>
        <w:t xml:space="preserve">cta de </w:t>
      </w:r>
      <w:r w:rsidR="00FE263B">
        <w:rPr>
          <w:rFonts w:ascii="Arial" w:eastAsiaTheme="minorEastAsia" w:hAnsi="Arial" w:cs="Arial"/>
          <w:color w:val="000000" w:themeColor="text1"/>
          <w:sz w:val="22"/>
          <w:szCs w:val="22"/>
          <w:lang w:val="es-MX"/>
        </w:rPr>
        <w:t>l</w:t>
      </w:r>
      <w:r w:rsidR="00FE263B" w:rsidRPr="00FE263B">
        <w:rPr>
          <w:rFonts w:ascii="Arial" w:eastAsiaTheme="minorEastAsia" w:hAnsi="Arial" w:cs="Arial"/>
          <w:color w:val="000000" w:themeColor="text1"/>
          <w:sz w:val="22"/>
          <w:szCs w:val="22"/>
          <w:lang w:val="es-MX"/>
        </w:rPr>
        <w:t>iquidación</w:t>
      </w:r>
      <w:r w:rsidR="00FE263B">
        <w:rPr>
          <w:rFonts w:ascii="Arial" w:eastAsiaTheme="minorEastAsia" w:hAnsi="Arial" w:cs="Arial"/>
          <w:color w:val="000000" w:themeColor="text1"/>
          <w:sz w:val="22"/>
          <w:szCs w:val="22"/>
          <w:lang w:val="es-MX"/>
        </w:rPr>
        <w:t>, e</w:t>
      </w:r>
      <w:r w:rsidR="00FE263B" w:rsidRPr="00FE263B">
        <w:rPr>
          <w:rFonts w:ascii="Arial" w:eastAsiaTheme="minorEastAsia" w:hAnsi="Arial" w:cs="Arial"/>
          <w:color w:val="000000" w:themeColor="text1"/>
          <w:sz w:val="22"/>
          <w:szCs w:val="22"/>
          <w:lang w:val="es-MX"/>
        </w:rPr>
        <w:t>stados financieros de los contratos de fiducia mercantil</w:t>
      </w:r>
      <w:r w:rsidR="00FE263B">
        <w:rPr>
          <w:rFonts w:ascii="Arial" w:eastAsiaTheme="minorEastAsia" w:hAnsi="Arial" w:cs="Arial"/>
          <w:color w:val="000000" w:themeColor="text1"/>
          <w:sz w:val="22"/>
          <w:szCs w:val="22"/>
          <w:lang w:val="es-MX"/>
        </w:rPr>
        <w:t xml:space="preserve"> e i</w:t>
      </w:r>
      <w:r w:rsidR="00FE263B" w:rsidRPr="00FE263B">
        <w:rPr>
          <w:rFonts w:ascii="Arial" w:eastAsiaTheme="minorEastAsia" w:hAnsi="Arial" w:cs="Arial"/>
          <w:color w:val="000000" w:themeColor="text1"/>
          <w:sz w:val="22"/>
          <w:szCs w:val="22"/>
          <w:lang w:val="es-MX"/>
        </w:rPr>
        <w:t>nforme final de ejecución contractual.</w:t>
      </w:r>
    </w:p>
    <w:p w14:paraId="04DE2F4B" w14:textId="77777777" w:rsidR="004F626A" w:rsidRDefault="004F626A" w:rsidP="004F626A">
      <w:pPr>
        <w:ind w:left="-567"/>
        <w:jc w:val="both"/>
        <w:rPr>
          <w:rFonts w:ascii="Arial" w:eastAsiaTheme="minorEastAsia" w:hAnsi="Arial" w:cs="Arial"/>
          <w:color w:val="000000" w:themeColor="text1"/>
          <w:sz w:val="22"/>
          <w:szCs w:val="22"/>
          <w:lang w:val="es-MX"/>
        </w:rPr>
      </w:pPr>
    </w:p>
    <w:p w14:paraId="3A4133DE" w14:textId="038F4F37" w:rsidR="004F626A" w:rsidRPr="003F3316" w:rsidRDefault="004F626A" w:rsidP="004F626A">
      <w:pPr>
        <w:ind w:left="-567"/>
        <w:jc w:val="both"/>
        <w:rPr>
          <w:rFonts w:ascii="Arial" w:eastAsiaTheme="minorEastAsia" w:hAnsi="Arial" w:cs="Arial"/>
          <w:b/>
          <w:bCs/>
          <w:color w:val="4472C4" w:themeColor="accent1"/>
          <w:sz w:val="22"/>
          <w:szCs w:val="22"/>
          <w:lang w:val="es-MX"/>
        </w:rPr>
      </w:pPr>
      <w:r>
        <w:rPr>
          <w:rFonts w:ascii="Arial" w:eastAsiaTheme="minorEastAsia" w:hAnsi="Arial" w:cs="Arial"/>
          <w:color w:val="000000" w:themeColor="text1"/>
          <w:sz w:val="22"/>
          <w:szCs w:val="22"/>
          <w:lang w:val="es-MX"/>
        </w:rPr>
        <w:t xml:space="preserve">Solicitudes de concepto a la oficina asesora jurídica sobre </w:t>
      </w:r>
      <w:r w:rsidRPr="001835B6">
        <w:rPr>
          <w:rFonts w:ascii="Arial" w:eastAsiaTheme="minorEastAsia" w:hAnsi="Arial" w:cs="Arial"/>
          <w:color w:val="000000" w:themeColor="text1"/>
          <w:sz w:val="22"/>
          <w:szCs w:val="22"/>
          <w:lang w:val="es-MX"/>
        </w:rPr>
        <w:t>la procedencia de solicitar la ampliación del plazo de liquidación de</w:t>
      </w:r>
      <w:r>
        <w:rPr>
          <w:rFonts w:ascii="Arial" w:eastAsiaTheme="minorEastAsia" w:hAnsi="Arial" w:cs="Arial"/>
          <w:color w:val="000000" w:themeColor="text1"/>
          <w:sz w:val="22"/>
          <w:szCs w:val="22"/>
          <w:lang w:val="es-MX"/>
        </w:rPr>
        <w:t xml:space="preserve"> </w:t>
      </w:r>
      <w:r w:rsidRPr="001835B6">
        <w:rPr>
          <w:rFonts w:ascii="Arial" w:eastAsiaTheme="minorEastAsia" w:hAnsi="Arial" w:cs="Arial"/>
          <w:color w:val="000000" w:themeColor="text1"/>
          <w:sz w:val="22"/>
          <w:szCs w:val="22"/>
          <w:lang w:val="es-MX"/>
        </w:rPr>
        <w:t>mutuo acuerdo</w:t>
      </w:r>
      <w:r>
        <w:rPr>
          <w:rFonts w:ascii="Arial" w:eastAsiaTheme="minorEastAsia" w:hAnsi="Arial" w:cs="Arial"/>
          <w:color w:val="000000" w:themeColor="text1"/>
          <w:sz w:val="22"/>
          <w:szCs w:val="22"/>
          <w:lang w:val="es-MX"/>
        </w:rPr>
        <w:t xml:space="preserve">, sobre pronunciamiento de </w:t>
      </w:r>
      <w:proofErr w:type="spellStart"/>
      <w:r>
        <w:rPr>
          <w:rFonts w:ascii="Arial" w:eastAsiaTheme="minorEastAsia" w:hAnsi="Arial" w:cs="Arial"/>
          <w:color w:val="000000" w:themeColor="text1"/>
          <w:sz w:val="22"/>
          <w:szCs w:val="22"/>
          <w:lang w:val="es-MX"/>
        </w:rPr>
        <w:t>Fiduagraria</w:t>
      </w:r>
      <w:proofErr w:type="spellEnd"/>
      <w:r>
        <w:rPr>
          <w:rFonts w:ascii="Arial" w:eastAsiaTheme="minorEastAsia" w:hAnsi="Arial" w:cs="Arial"/>
          <w:color w:val="000000" w:themeColor="text1"/>
          <w:sz w:val="22"/>
          <w:szCs w:val="22"/>
          <w:lang w:val="es-MX"/>
        </w:rPr>
        <w:t xml:space="preserve"> frente al </w:t>
      </w:r>
      <w:r w:rsidRPr="00254AC9">
        <w:rPr>
          <w:rFonts w:ascii="Arial" w:eastAsiaTheme="minorEastAsia" w:hAnsi="Arial" w:cs="Arial"/>
          <w:color w:val="000000" w:themeColor="text1"/>
          <w:sz w:val="22"/>
          <w:szCs w:val="22"/>
          <w:lang w:val="es-MX"/>
        </w:rPr>
        <w:lastRenderedPageBreak/>
        <w:t>reintegro de los recursos correspondientes a la categoría de comisión fiduciaria</w:t>
      </w:r>
      <w:r>
        <w:rPr>
          <w:rFonts w:ascii="Arial" w:eastAsiaTheme="minorEastAsia" w:hAnsi="Arial" w:cs="Arial"/>
          <w:color w:val="000000" w:themeColor="text1"/>
          <w:sz w:val="22"/>
          <w:szCs w:val="22"/>
          <w:lang w:val="es-MX"/>
        </w:rPr>
        <w:t xml:space="preserve">. A la fecha de elaboración de este informe, no se ha recibido respuesta. </w:t>
      </w:r>
    </w:p>
    <w:p w14:paraId="484CC44A" w14:textId="77777777" w:rsidR="009A483E" w:rsidRDefault="009A483E" w:rsidP="004F626A">
      <w:pPr>
        <w:jc w:val="both"/>
        <w:rPr>
          <w:rFonts w:ascii="Arial" w:eastAsiaTheme="minorEastAsia" w:hAnsi="Arial" w:cs="Arial"/>
          <w:b/>
          <w:bCs/>
          <w:color w:val="4472C4" w:themeColor="accent1"/>
          <w:sz w:val="22"/>
          <w:szCs w:val="22"/>
          <w:lang w:val="es-MX"/>
        </w:rPr>
      </w:pPr>
    </w:p>
    <w:p w14:paraId="6E3E9185" w14:textId="77777777" w:rsidR="00213B0C" w:rsidRDefault="009A483E" w:rsidP="00213B0C">
      <w:pPr>
        <w:pStyle w:val="Prrafodelista"/>
        <w:numPr>
          <w:ilvl w:val="1"/>
          <w:numId w:val="16"/>
        </w:numPr>
        <w:jc w:val="both"/>
        <w:rPr>
          <w:rFonts w:ascii="Arial" w:eastAsiaTheme="minorEastAsia" w:hAnsi="Arial" w:cs="Arial"/>
          <w:i/>
          <w:iCs/>
          <w:color w:val="000000" w:themeColor="text1"/>
          <w:sz w:val="22"/>
          <w:szCs w:val="22"/>
          <w:lang w:val="es-MX"/>
        </w:rPr>
      </w:pPr>
      <w:r w:rsidRPr="00E05081">
        <w:rPr>
          <w:rFonts w:ascii="Arial" w:eastAsiaTheme="minorEastAsia" w:hAnsi="Arial" w:cs="Arial"/>
          <w:i/>
          <w:iCs/>
          <w:color w:val="000000" w:themeColor="text1"/>
          <w:sz w:val="22"/>
          <w:szCs w:val="22"/>
          <w:lang w:val="es-MX"/>
        </w:rPr>
        <w:t xml:space="preserve">Acciones específicas en materia técnica: </w:t>
      </w:r>
    </w:p>
    <w:p w14:paraId="268A8817" w14:textId="77777777" w:rsidR="00213B0C" w:rsidRDefault="00213B0C" w:rsidP="006C4CE5">
      <w:pPr>
        <w:ind w:left="-567"/>
        <w:jc w:val="both"/>
        <w:rPr>
          <w:rFonts w:ascii="Arial" w:eastAsiaTheme="minorEastAsia" w:hAnsi="Arial" w:cs="Arial"/>
          <w:b/>
          <w:bCs/>
          <w:color w:val="EE0000"/>
          <w:sz w:val="22"/>
          <w:szCs w:val="22"/>
          <w:lang w:val="es-MX"/>
        </w:rPr>
      </w:pPr>
    </w:p>
    <w:p w14:paraId="3018207D" w14:textId="7A4AE6F0" w:rsidR="009A483E" w:rsidRPr="005B0223" w:rsidRDefault="005B0223" w:rsidP="006C4CE5">
      <w:pPr>
        <w:ind w:left="-567"/>
        <w:jc w:val="both"/>
        <w:rPr>
          <w:rFonts w:ascii="Arial" w:eastAsiaTheme="minorEastAsia" w:hAnsi="Arial" w:cs="Arial"/>
          <w:color w:val="000000" w:themeColor="text1"/>
          <w:sz w:val="22"/>
          <w:szCs w:val="22"/>
          <w:lang w:val="es-MX"/>
        </w:rPr>
      </w:pPr>
      <w:r w:rsidRPr="005B0223">
        <w:rPr>
          <w:rFonts w:ascii="Arial" w:eastAsiaTheme="minorEastAsia" w:hAnsi="Arial" w:cs="Arial"/>
          <w:color w:val="000000" w:themeColor="text1"/>
          <w:sz w:val="22"/>
          <w:szCs w:val="22"/>
          <w:lang w:val="es-MX"/>
        </w:rPr>
        <w:t xml:space="preserve">Con base en el reporte de ejecución suministrado por </w:t>
      </w:r>
      <w:proofErr w:type="spellStart"/>
      <w:r w:rsidRPr="005B0223">
        <w:rPr>
          <w:rFonts w:ascii="Arial" w:eastAsiaTheme="minorEastAsia" w:hAnsi="Arial" w:cs="Arial"/>
          <w:color w:val="000000" w:themeColor="text1"/>
          <w:sz w:val="22"/>
          <w:szCs w:val="22"/>
          <w:lang w:val="es-MX"/>
        </w:rPr>
        <w:t>Fiduagraria</w:t>
      </w:r>
      <w:proofErr w:type="spellEnd"/>
      <w:r w:rsidRPr="005B0223">
        <w:rPr>
          <w:rFonts w:ascii="Arial" w:eastAsiaTheme="minorEastAsia" w:hAnsi="Arial" w:cs="Arial"/>
          <w:color w:val="000000" w:themeColor="text1"/>
          <w:sz w:val="22"/>
          <w:szCs w:val="22"/>
          <w:lang w:val="es-MX"/>
        </w:rPr>
        <w:t>, y tras el análisis de la</w:t>
      </w:r>
      <w:r>
        <w:rPr>
          <w:rFonts w:ascii="Arial" w:eastAsiaTheme="minorEastAsia" w:hAnsi="Arial" w:cs="Arial"/>
          <w:color w:val="000000" w:themeColor="text1"/>
          <w:sz w:val="22"/>
          <w:szCs w:val="22"/>
          <w:lang w:val="es-MX"/>
        </w:rPr>
        <w:t xml:space="preserve"> </w:t>
      </w:r>
      <w:r w:rsidRPr="005B0223">
        <w:rPr>
          <w:rFonts w:ascii="Arial" w:eastAsiaTheme="minorEastAsia" w:hAnsi="Arial" w:cs="Arial"/>
          <w:color w:val="000000" w:themeColor="text1"/>
          <w:sz w:val="22"/>
          <w:szCs w:val="22"/>
          <w:lang w:val="es-MX"/>
        </w:rPr>
        <w:t>información realizado durante</w:t>
      </w:r>
      <w:r w:rsidR="00143973">
        <w:rPr>
          <w:rFonts w:ascii="Arial" w:eastAsiaTheme="minorEastAsia" w:hAnsi="Arial" w:cs="Arial"/>
          <w:color w:val="000000" w:themeColor="text1"/>
          <w:sz w:val="22"/>
          <w:szCs w:val="22"/>
          <w:lang w:val="es-MX"/>
        </w:rPr>
        <w:t xml:space="preserve"> la r</w:t>
      </w:r>
      <w:r w:rsidRPr="005B0223">
        <w:rPr>
          <w:rFonts w:ascii="Arial" w:eastAsiaTheme="minorEastAsia" w:hAnsi="Arial" w:cs="Arial"/>
          <w:color w:val="000000" w:themeColor="text1"/>
          <w:sz w:val="22"/>
          <w:szCs w:val="22"/>
          <w:lang w:val="es-MX"/>
        </w:rPr>
        <w:t>evisión documental finalizada el 2 de marzo</w:t>
      </w:r>
      <w:r>
        <w:rPr>
          <w:rFonts w:ascii="Arial" w:eastAsiaTheme="minorEastAsia" w:hAnsi="Arial" w:cs="Arial"/>
          <w:color w:val="000000" w:themeColor="text1"/>
          <w:sz w:val="22"/>
          <w:szCs w:val="22"/>
          <w:lang w:val="es-MX"/>
        </w:rPr>
        <w:t xml:space="preserve"> </w:t>
      </w:r>
      <w:r w:rsidRPr="005B0223">
        <w:rPr>
          <w:rFonts w:ascii="Arial" w:eastAsiaTheme="minorEastAsia" w:hAnsi="Arial" w:cs="Arial"/>
          <w:color w:val="000000" w:themeColor="text1"/>
          <w:sz w:val="22"/>
          <w:szCs w:val="22"/>
          <w:lang w:val="es-MX"/>
        </w:rPr>
        <w:t xml:space="preserve">de 2026, </w:t>
      </w:r>
      <w:r w:rsidR="00143973">
        <w:rPr>
          <w:rFonts w:ascii="Arial" w:eastAsiaTheme="minorEastAsia" w:hAnsi="Arial" w:cs="Arial"/>
          <w:color w:val="000000" w:themeColor="text1"/>
          <w:sz w:val="22"/>
          <w:szCs w:val="22"/>
          <w:lang w:val="es-MX"/>
        </w:rPr>
        <w:t xml:space="preserve">a la fecha se cuenta con </w:t>
      </w:r>
      <w:r w:rsidR="006C4CE5" w:rsidRPr="006C4CE5">
        <w:rPr>
          <w:rFonts w:ascii="Arial" w:eastAsiaTheme="minorEastAsia" w:hAnsi="Arial" w:cs="Arial"/>
          <w:color w:val="000000" w:themeColor="text1"/>
          <w:sz w:val="22"/>
          <w:szCs w:val="22"/>
          <w:lang w:val="es-MX"/>
        </w:rPr>
        <w:t>9.677</w:t>
      </w:r>
      <w:r w:rsidR="00143973">
        <w:rPr>
          <w:rFonts w:ascii="Arial" w:eastAsiaTheme="minorEastAsia" w:hAnsi="Arial" w:cs="Arial"/>
          <w:color w:val="000000" w:themeColor="text1"/>
          <w:sz w:val="22"/>
          <w:szCs w:val="22"/>
          <w:lang w:val="es-MX"/>
        </w:rPr>
        <w:t xml:space="preserve"> subsidios sin materializar</w:t>
      </w:r>
      <w:r w:rsidR="001863AE">
        <w:rPr>
          <w:rFonts w:ascii="Arial" w:eastAsiaTheme="minorEastAsia" w:hAnsi="Arial" w:cs="Arial"/>
          <w:color w:val="000000" w:themeColor="text1"/>
          <w:sz w:val="22"/>
          <w:szCs w:val="22"/>
          <w:lang w:val="es-MX"/>
        </w:rPr>
        <w:t xml:space="preserve">, lo cual </w:t>
      </w:r>
      <w:r w:rsidR="006C4CE5" w:rsidRPr="006C4CE5">
        <w:rPr>
          <w:rFonts w:ascii="Arial" w:eastAsiaTheme="minorEastAsia" w:hAnsi="Arial" w:cs="Arial"/>
          <w:color w:val="000000" w:themeColor="text1"/>
          <w:sz w:val="22"/>
          <w:szCs w:val="22"/>
          <w:lang w:val="es-MX"/>
        </w:rPr>
        <w:t>equivale al 77% del total</w:t>
      </w:r>
      <w:r w:rsidR="007E0F00">
        <w:rPr>
          <w:rFonts w:ascii="Arial" w:eastAsiaTheme="minorEastAsia" w:hAnsi="Arial" w:cs="Arial"/>
          <w:color w:val="000000" w:themeColor="text1"/>
          <w:sz w:val="22"/>
          <w:szCs w:val="22"/>
          <w:lang w:val="es-MX"/>
        </w:rPr>
        <w:t xml:space="preserve"> </w:t>
      </w:r>
      <w:r w:rsidR="006C4CE5" w:rsidRPr="006C4CE5">
        <w:rPr>
          <w:rFonts w:ascii="Arial" w:eastAsiaTheme="minorEastAsia" w:hAnsi="Arial" w:cs="Arial"/>
          <w:color w:val="000000" w:themeColor="text1"/>
          <w:sz w:val="22"/>
          <w:szCs w:val="22"/>
          <w:lang w:val="es-MX"/>
        </w:rPr>
        <w:t>de los subsidios otorgados.</w:t>
      </w:r>
    </w:p>
    <w:p w14:paraId="2C8BBF76" w14:textId="77777777" w:rsidR="003F3316" w:rsidRDefault="003F3316" w:rsidP="00CB24C7">
      <w:pPr>
        <w:ind w:left="-567"/>
        <w:jc w:val="both"/>
        <w:rPr>
          <w:rFonts w:ascii="Arial" w:eastAsiaTheme="minorEastAsia" w:hAnsi="Arial" w:cs="Arial"/>
          <w:b/>
          <w:bCs/>
          <w:color w:val="4472C4" w:themeColor="accent1"/>
          <w:sz w:val="22"/>
          <w:szCs w:val="22"/>
          <w:lang w:val="es-MX"/>
        </w:rPr>
      </w:pPr>
    </w:p>
    <w:p w14:paraId="4AE707C4" w14:textId="329D1363" w:rsidR="00E05081" w:rsidRPr="00E05081" w:rsidRDefault="00E14D94" w:rsidP="00E05081">
      <w:pPr>
        <w:pStyle w:val="Prrafodelista"/>
        <w:numPr>
          <w:ilvl w:val="1"/>
          <w:numId w:val="16"/>
        </w:numPr>
        <w:jc w:val="both"/>
        <w:rPr>
          <w:rFonts w:ascii="Arial" w:eastAsiaTheme="minorEastAsia" w:hAnsi="Arial" w:cs="Arial"/>
          <w:i/>
          <w:iCs/>
          <w:color w:val="000000" w:themeColor="text1"/>
          <w:sz w:val="22"/>
          <w:szCs w:val="22"/>
          <w:lang w:val="es-MX"/>
        </w:rPr>
      </w:pPr>
      <w:r w:rsidRPr="00E05081">
        <w:rPr>
          <w:rFonts w:ascii="Arial" w:eastAsiaTheme="minorEastAsia" w:hAnsi="Arial" w:cs="Arial"/>
          <w:i/>
          <w:iCs/>
          <w:color w:val="000000" w:themeColor="text1"/>
          <w:sz w:val="22"/>
          <w:szCs w:val="22"/>
          <w:lang w:val="es-MX"/>
        </w:rPr>
        <w:t>Acciones específicas en materia financiera:</w:t>
      </w:r>
    </w:p>
    <w:p w14:paraId="59982711" w14:textId="77777777" w:rsidR="00E05081" w:rsidRDefault="00E05081" w:rsidP="00E14D94">
      <w:pPr>
        <w:ind w:left="-567"/>
        <w:jc w:val="both"/>
        <w:rPr>
          <w:rFonts w:ascii="Arial" w:eastAsiaTheme="minorEastAsia" w:hAnsi="Arial" w:cs="Arial"/>
          <w:i/>
          <w:iCs/>
          <w:color w:val="000000" w:themeColor="text1"/>
          <w:sz w:val="22"/>
          <w:szCs w:val="22"/>
          <w:lang w:val="es-MX"/>
        </w:rPr>
      </w:pPr>
    </w:p>
    <w:p w14:paraId="3E14C055" w14:textId="7822E19A" w:rsidR="00E05081" w:rsidRPr="00E2477F" w:rsidRDefault="00E05081" w:rsidP="00E05081">
      <w:pPr>
        <w:ind w:left="-567"/>
        <w:jc w:val="both"/>
        <w:rPr>
          <w:rFonts w:ascii="Arial" w:eastAsiaTheme="minorEastAsia" w:hAnsi="Arial" w:cs="Arial"/>
          <w:color w:val="000000" w:themeColor="text1"/>
          <w:sz w:val="22"/>
          <w:szCs w:val="22"/>
        </w:rPr>
      </w:pPr>
      <w:r w:rsidRPr="00E05081">
        <w:rPr>
          <w:rFonts w:ascii="Arial" w:eastAsiaTheme="minorEastAsia" w:hAnsi="Arial" w:cs="Arial"/>
          <w:color w:val="000000" w:themeColor="text1"/>
          <w:sz w:val="22"/>
          <w:szCs w:val="22"/>
        </w:rPr>
        <w:t>En el mes de diciembre de 2025, se inició la mesa contable y financiera con el fin de</w:t>
      </w:r>
      <w:r w:rsidRPr="00E2477F">
        <w:rPr>
          <w:rFonts w:ascii="Arial" w:eastAsiaTheme="minorEastAsia" w:hAnsi="Arial" w:cs="Arial"/>
          <w:color w:val="000000" w:themeColor="text1"/>
          <w:sz w:val="22"/>
          <w:szCs w:val="22"/>
        </w:rPr>
        <w:t xml:space="preserve"> </w:t>
      </w:r>
      <w:r w:rsidRPr="00E05081">
        <w:rPr>
          <w:rFonts w:ascii="Arial" w:eastAsiaTheme="minorEastAsia" w:hAnsi="Arial" w:cs="Arial"/>
          <w:color w:val="000000" w:themeColor="text1"/>
          <w:sz w:val="22"/>
          <w:szCs w:val="22"/>
        </w:rPr>
        <w:t>establecer la ejecución de los patrimonio</w:t>
      </w:r>
      <w:r w:rsidR="00E2477F">
        <w:rPr>
          <w:rFonts w:ascii="Arial" w:eastAsiaTheme="minorEastAsia" w:hAnsi="Arial" w:cs="Arial"/>
          <w:color w:val="000000" w:themeColor="text1"/>
          <w:sz w:val="22"/>
          <w:szCs w:val="22"/>
        </w:rPr>
        <w:t>s</w:t>
      </w:r>
      <w:r w:rsidRPr="00E05081">
        <w:rPr>
          <w:rFonts w:ascii="Arial" w:eastAsiaTheme="minorEastAsia" w:hAnsi="Arial" w:cs="Arial"/>
          <w:color w:val="000000" w:themeColor="text1"/>
          <w:sz w:val="22"/>
          <w:szCs w:val="22"/>
        </w:rPr>
        <w:t xml:space="preserve"> autónomos 2019-2019, entregando en el mes</w:t>
      </w:r>
      <w:r w:rsidRPr="00E2477F">
        <w:rPr>
          <w:rFonts w:ascii="Arial" w:eastAsiaTheme="minorEastAsia" w:hAnsi="Arial" w:cs="Arial"/>
          <w:color w:val="000000" w:themeColor="text1"/>
          <w:sz w:val="22"/>
          <w:szCs w:val="22"/>
        </w:rPr>
        <w:t xml:space="preserve"> </w:t>
      </w:r>
      <w:r w:rsidRPr="00E05081">
        <w:rPr>
          <w:rFonts w:ascii="Arial" w:eastAsiaTheme="minorEastAsia" w:hAnsi="Arial" w:cs="Arial"/>
          <w:color w:val="000000" w:themeColor="text1"/>
          <w:sz w:val="22"/>
          <w:szCs w:val="22"/>
        </w:rPr>
        <w:t xml:space="preserve">de enero, </w:t>
      </w:r>
      <w:proofErr w:type="spellStart"/>
      <w:r w:rsidRPr="00E05081">
        <w:rPr>
          <w:rFonts w:ascii="Arial" w:eastAsiaTheme="minorEastAsia" w:hAnsi="Arial" w:cs="Arial"/>
          <w:color w:val="000000" w:themeColor="text1"/>
          <w:sz w:val="22"/>
          <w:szCs w:val="22"/>
        </w:rPr>
        <w:t>Fiduagraria</w:t>
      </w:r>
      <w:proofErr w:type="spellEnd"/>
      <w:r w:rsidRPr="00E05081">
        <w:rPr>
          <w:rFonts w:ascii="Arial" w:eastAsiaTheme="minorEastAsia" w:hAnsi="Arial" w:cs="Arial"/>
          <w:color w:val="000000" w:themeColor="text1"/>
          <w:sz w:val="22"/>
          <w:szCs w:val="22"/>
        </w:rPr>
        <w:t xml:space="preserve"> entrega un anexo en Excel, con el título “consolidado de ingresos</w:t>
      </w:r>
      <w:r w:rsidRPr="00E2477F">
        <w:rPr>
          <w:rFonts w:ascii="Arial" w:eastAsiaTheme="minorEastAsia" w:hAnsi="Arial" w:cs="Arial"/>
          <w:color w:val="000000" w:themeColor="text1"/>
          <w:sz w:val="22"/>
          <w:szCs w:val="22"/>
        </w:rPr>
        <w:t xml:space="preserve"> </w:t>
      </w:r>
      <w:r w:rsidRPr="00E05081">
        <w:rPr>
          <w:rFonts w:ascii="Arial" w:eastAsiaTheme="minorEastAsia" w:hAnsi="Arial" w:cs="Arial"/>
          <w:color w:val="000000" w:themeColor="text1"/>
          <w:sz w:val="22"/>
          <w:szCs w:val="22"/>
        </w:rPr>
        <w:t>y egresos del fideicomiso del bimestre” Anexo 2. Detalle de pagos al contratista del</w:t>
      </w:r>
      <w:r w:rsidRPr="00E2477F">
        <w:rPr>
          <w:rFonts w:ascii="Arial" w:eastAsiaTheme="minorEastAsia" w:hAnsi="Arial" w:cs="Arial"/>
          <w:color w:val="000000" w:themeColor="text1"/>
          <w:sz w:val="22"/>
          <w:szCs w:val="22"/>
        </w:rPr>
        <w:t xml:space="preserve"> </w:t>
      </w:r>
      <w:r w:rsidRPr="00E05081">
        <w:rPr>
          <w:rFonts w:ascii="Arial" w:eastAsiaTheme="minorEastAsia" w:hAnsi="Arial" w:cs="Arial"/>
          <w:color w:val="000000" w:themeColor="text1"/>
          <w:sz w:val="22"/>
          <w:szCs w:val="22"/>
        </w:rPr>
        <w:t xml:space="preserve">bimestre, Anexo 3. Extracto FI600 901081 </w:t>
      </w:r>
      <w:proofErr w:type="gramStart"/>
      <w:r w:rsidRPr="00E05081">
        <w:rPr>
          <w:rFonts w:ascii="Arial" w:eastAsiaTheme="minorEastAsia" w:hAnsi="Arial" w:cs="Arial"/>
          <w:color w:val="000000" w:themeColor="text1"/>
          <w:sz w:val="22"/>
          <w:szCs w:val="22"/>
        </w:rPr>
        <w:t>Noviembre</w:t>
      </w:r>
      <w:proofErr w:type="gramEnd"/>
      <w:r w:rsidRPr="00E05081">
        <w:rPr>
          <w:rFonts w:ascii="Arial" w:eastAsiaTheme="minorEastAsia" w:hAnsi="Arial" w:cs="Arial"/>
          <w:color w:val="000000" w:themeColor="text1"/>
          <w:sz w:val="22"/>
          <w:szCs w:val="22"/>
        </w:rPr>
        <w:t xml:space="preserve"> de 2025; Anexo 5 extracto cuenta</w:t>
      </w:r>
      <w:r w:rsidRPr="00E2477F">
        <w:rPr>
          <w:rFonts w:ascii="Arial" w:eastAsiaTheme="minorEastAsia" w:hAnsi="Arial" w:cs="Arial"/>
          <w:color w:val="000000" w:themeColor="text1"/>
          <w:sz w:val="22"/>
          <w:szCs w:val="22"/>
        </w:rPr>
        <w:t xml:space="preserve"> </w:t>
      </w:r>
      <w:r w:rsidRPr="00E05081">
        <w:rPr>
          <w:rFonts w:ascii="Arial" w:eastAsiaTheme="minorEastAsia" w:hAnsi="Arial" w:cs="Arial"/>
          <w:color w:val="000000" w:themeColor="text1"/>
          <w:sz w:val="22"/>
          <w:szCs w:val="22"/>
        </w:rPr>
        <w:t xml:space="preserve">de ahorros no. 0045420115221 </w:t>
      </w:r>
      <w:proofErr w:type="gramStart"/>
      <w:r w:rsidRPr="00E05081">
        <w:rPr>
          <w:rFonts w:ascii="Arial" w:eastAsiaTheme="minorEastAsia" w:hAnsi="Arial" w:cs="Arial"/>
          <w:color w:val="000000" w:themeColor="text1"/>
          <w:sz w:val="22"/>
          <w:szCs w:val="22"/>
        </w:rPr>
        <w:t>Banco</w:t>
      </w:r>
      <w:proofErr w:type="gramEnd"/>
      <w:r w:rsidRPr="00E05081">
        <w:rPr>
          <w:rFonts w:ascii="Arial" w:eastAsiaTheme="minorEastAsia" w:hAnsi="Arial" w:cs="Arial"/>
          <w:color w:val="000000" w:themeColor="text1"/>
          <w:sz w:val="22"/>
          <w:szCs w:val="22"/>
        </w:rPr>
        <w:t xml:space="preserve"> Colpatria, Cuenta de ahorros No. 256-96540-1</w:t>
      </w:r>
      <w:r w:rsidRPr="00E2477F">
        <w:rPr>
          <w:rFonts w:ascii="Arial" w:eastAsiaTheme="minorEastAsia" w:hAnsi="Arial" w:cs="Arial"/>
          <w:color w:val="000000" w:themeColor="text1"/>
          <w:sz w:val="22"/>
          <w:szCs w:val="22"/>
        </w:rPr>
        <w:t xml:space="preserve">. </w:t>
      </w:r>
    </w:p>
    <w:p w14:paraId="7D129F14" w14:textId="77777777" w:rsidR="00E05081" w:rsidRPr="00E05081" w:rsidRDefault="00E05081" w:rsidP="00E05081">
      <w:pPr>
        <w:ind w:left="-567"/>
        <w:jc w:val="both"/>
        <w:rPr>
          <w:rFonts w:ascii="Arial" w:eastAsiaTheme="minorEastAsia" w:hAnsi="Arial" w:cs="Arial"/>
          <w:color w:val="000000" w:themeColor="text1"/>
          <w:sz w:val="22"/>
          <w:szCs w:val="22"/>
        </w:rPr>
      </w:pPr>
    </w:p>
    <w:p w14:paraId="6C27599B" w14:textId="20811F90" w:rsidR="00E05081" w:rsidRPr="00E05081" w:rsidRDefault="00E05081" w:rsidP="00E05081">
      <w:pPr>
        <w:ind w:left="-567"/>
        <w:jc w:val="both"/>
        <w:rPr>
          <w:rFonts w:ascii="Arial" w:eastAsiaTheme="minorEastAsia" w:hAnsi="Arial" w:cs="Arial"/>
          <w:color w:val="000000" w:themeColor="text1"/>
          <w:sz w:val="22"/>
          <w:szCs w:val="22"/>
        </w:rPr>
      </w:pPr>
      <w:r w:rsidRPr="00E05081">
        <w:rPr>
          <w:rFonts w:ascii="Arial" w:eastAsiaTheme="minorEastAsia" w:hAnsi="Arial" w:cs="Arial"/>
          <w:color w:val="000000" w:themeColor="text1"/>
          <w:sz w:val="22"/>
          <w:szCs w:val="22"/>
        </w:rPr>
        <w:t>Banco de Occidente noviembre, Anexo 6 Estados Financieros con corte al mes de</w:t>
      </w:r>
      <w:r w:rsidRPr="00E2477F">
        <w:rPr>
          <w:rFonts w:ascii="Arial" w:eastAsiaTheme="minorEastAsia" w:hAnsi="Arial" w:cs="Arial"/>
          <w:color w:val="000000" w:themeColor="text1"/>
          <w:sz w:val="22"/>
          <w:szCs w:val="22"/>
        </w:rPr>
        <w:t xml:space="preserve"> </w:t>
      </w:r>
      <w:r w:rsidRPr="00E05081">
        <w:rPr>
          <w:rFonts w:ascii="Arial" w:eastAsiaTheme="minorEastAsia" w:hAnsi="Arial" w:cs="Arial"/>
          <w:color w:val="000000" w:themeColor="text1"/>
          <w:sz w:val="22"/>
          <w:szCs w:val="22"/>
        </w:rPr>
        <w:t xml:space="preserve">noviembre de 2025, certificación de saldos patrimonio autónomo </w:t>
      </w:r>
      <w:proofErr w:type="gramStart"/>
      <w:r w:rsidRPr="00E05081">
        <w:rPr>
          <w:rFonts w:ascii="Arial" w:eastAsiaTheme="minorEastAsia" w:hAnsi="Arial" w:cs="Arial"/>
          <w:color w:val="000000" w:themeColor="text1"/>
          <w:sz w:val="22"/>
          <w:szCs w:val="22"/>
        </w:rPr>
        <w:t>PA.VISR</w:t>
      </w:r>
      <w:proofErr w:type="gramEnd"/>
      <w:r w:rsidRPr="00E05081">
        <w:rPr>
          <w:rFonts w:ascii="Arial" w:eastAsiaTheme="minorEastAsia" w:hAnsi="Arial" w:cs="Arial"/>
          <w:color w:val="000000" w:themeColor="text1"/>
          <w:sz w:val="22"/>
          <w:szCs w:val="22"/>
        </w:rPr>
        <w:t>-MADR 2018 –</w:t>
      </w:r>
      <w:r w:rsidRPr="00E2477F">
        <w:rPr>
          <w:rFonts w:ascii="Arial" w:eastAsiaTheme="minorEastAsia" w:hAnsi="Arial" w:cs="Arial"/>
          <w:color w:val="000000" w:themeColor="text1"/>
          <w:sz w:val="22"/>
          <w:szCs w:val="22"/>
        </w:rPr>
        <w:t xml:space="preserve"> </w:t>
      </w:r>
      <w:r w:rsidRPr="00E05081">
        <w:rPr>
          <w:rFonts w:ascii="Arial" w:eastAsiaTheme="minorEastAsia" w:hAnsi="Arial" w:cs="Arial"/>
          <w:color w:val="000000" w:themeColor="text1"/>
          <w:sz w:val="22"/>
          <w:szCs w:val="22"/>
        </w:rPr>
        <w:t>NOV.25.</w:t>
      </w:r>
    </w:p>
    <w:p w14:paraId="198139E8" w14:textId="77777777" w:rsidR="004113AC" w:rsidRDefault="004113AC" w:rsidP="00E05081">
      <w:pPr>
        <w:ind w:left="-567"/>
        <w:jc w:val="both"/>
        <w:rPr>
          <w:rFonts w:ascii="Arial" w:eastAsiaTheme="minorEastAsia" w:hAnsi="Arial" w:cs="Arial"/>
          <w:color w:val="000000" w:themeColor="text1"/>
          <w:sz w:val="22"/>
          <w:szCs w:val="22"/>
        </w:rPr>
      </w:pPr>
    </w:p>
    <w:p w14:paraId="28CD1915" w14:textId="2DCC8118" w:rsidR="00E14D94" w:rsidRPr="00E2477F" w:rsidRDefault="00E05081" w:rsidP="00E05081">
      <w:pPr>
        <w:ind w:left="-567"/>
        <w:jc w:val="both"/>
        <w:rPr>
          <w:rFonts w:ascii="Arial" w:eastAsiaTheme="minorEastAsia" w:hAnsi="Arial" w:cs="Arial"/>
          <w:color w:val="000000" w:themeColor="text1"/>
          <w:sz w:val="22"/>
          <w:szCs w:val="22"/>
        </w:rPr>
      </w:pPr>
      <w:r w:rsidRPr="00E05081">
        <w:rPr>
          <w:rFonts w:ascii="Arial" w:eastAsiaTheme="minorEastAsia" w:hAnsi="Arial" w:cs="Arial"/>
          <w:color w:val="000000" w:themeColor="text1"/>
          <w:sz w:val="22"/>
          <w:szCs w:val="22"/>
        </w:rPr>
        <w:t>Una vez revisados los documentos, se encuentra que no se aportaron los estados</w:t>
      </w:r>
      <w:r w:rsidRPr="00E2477F">
        <w:rPr>
          <w:rFonts w:ascii="Arial" w:eastAsiaTheme="minorEastAsia" w:hAnsi="Arial" w:cs="Arial"/>
          <w:color w:val="000000" w:themeColor="text1"/>
          <w:sz w:val="22"/>
          <w:szCs w:val="22"/>
        </w:rPr>
        <w:t xml:space="preserve"> </w:t>
      </w:r>
      <w:r w:rsidRPr="00E05081">
        <w:rPr>
          <w:rFonts w:ascii="Arial" w:eastAsiaTheme="minorEastAsia" w:hAnsi="Arial" w:cs="Arial"/>
          <w:color w:val="000000" w:themeColor="text1"/>
          <w:sz w:val="22"/>
          <w:szCs w:val="22"/>
        </w:rPr>
        <w:t>financieros de los patrimonios autónomos y no se encuentran certificados por el</w:t>
      </w:r>
      <w:r w:rsidRPr="00E2477F">
        <w:rPr>
          <w:rFonts w:ascii="Arial" w:eastAsiaTheme="minorEastAsia" w:hAnsi="Arial" w:cs="Arial"/>
          <w:color w:val="000000" w:themeColor="text1"/>
          <w:sz w:val="22"/>
          <w:szCs w:val="22"/>
        </w:rPr>
        <w:t xml:space="preserve"> </w:t>
      </w:r>
      <w:r w:rsidRPr="00E05081">
        <w:rPr>
          <w:rFonts w:ascii="Arial" w:eastAsiaTheme="minorEastAsia" w:hAnsi="Arial" w:cs="Arial"/>
          <w:color w:val="000000" w:themeColor="text1"/>
          <w:sz w:val="22"/>
          <w:szCs w:val="22"/>
        </w:rPr>
        <w:t>representante legal y el contador público, como lo establece la normatividad vigente, de</w:t>
      </w:r>
      <w:r w:rsidRPr="00E2477F">
        <w:rPr>
          <w:rFonts w:ascii="Arial" w:eastAsiaTheme="minorEastAsia" w:hAnsi="Arial" w:cs="Arial"/>
          <w:color w:val="000000" w:themeColor="text1"/>
          <w:sz w:val="22"/>
          <w:szCs w:val="22"/>
        </w:rPr>
        <w:t xml:space="preserve"> </w:t>
      </w:r>
      <w:r w:rsidRPr="00E05081">
        <w:rPr>
          <w:rFonts w:ascii="Arial" w:eastAsiaTheme="minorEastAsia" w:hAnsi="Arial" w:cs="Arial"/>
          <w:color w:val="000000" w:themeColor="text1"/>
          <w:sz w:val="22"/>
          <w:szCs w:val="22"/>
        </w:rPr>
        <w:t>igual manera no están dictaminados por el revisor fiscal; del cual se realizó solicitud a</w:t>
      </w:r>
      <w:r w:rsidRPr="00E2477F">
        <w:rPr>
          <w:rFonts w:ascii="Arial" w:eastAsiaTheme="minorEastAsia" w:hAnsi="Arial" w:cs="Arial"/>
          <w:color w:val="000000" w:themeColor="text1"/>
          <w:sz w:val="22"/>
          <w:szCs w:val="22"/>
        </w:rPr>
        <w:t xml:space="preserve"> </w:t>
      </w:r>
      <w:proofErr w:type="spellStart"/>
      <w:r w:rsidRPr="00E05081">
        <w:rPr>
          <w:rFonts w:ascii="Arial" w:eastAsiaTheme="minorEastAsia" w:hAnsi="Arial" w:cs="Arial"/>
          <w:color w:val="000000" w:themeColor="text1"/>
          <w:sz w:val="22"/>
          <w:szCs w:val="22"/>
        </w:rPr>
        <w:t>Fiduagraria</w:t>
      </w:r>
      <w:proofErr w:type="spellEnd"/>
      <w:r w:rsidRPr="00E05081">
        <w:rPr>
          <w:rFonts w:ascii="Arial" w:eastAsiaTheme="minorEastAsia" w:hAnsi="Arial" w:cs="Arial"/>
          <w:color w:val="000000" w:themeColor="text1"/>
          <w:sz w:val="22"/>
          <w:szCs w:val="22"/>
        </w:rPr>
        <w:t xml:space="preserve"> mediante el radicado No. 2026-440-002916-1 de fecha 18 de febrero de</w:t>
      </w:r>
      <w:r w:rsidRPr="00E2477F">
        <w:rPr>
          <w:rFonts w:ascii="Arial" w:eastAsiaTheme="minorEastAsia" w:hAnsi="Arial" w:cs="Arial"/>
          <w:color w:val="000000" w:themeColor="text1"/>
          <w:sz w:val="22"/>
          <w:szCs w:val="22"/>
        </w:rPr>
        <w:t xml:space="preserve"> 2026.</w:t>
      </w:r>
      <w:r w:rsidR="00E14D94" w:rsidRPr="00E2477F">
        <w:rPr>
          <w:rFonts w:ascii="Arial" w:eastAsiaTheme="minorEastAsia" w:hAnsi="Arial" w:cs="Arial"/>
          <w:color w:val="000000" w:themeColor="text1"/>
          <w:sz w:val="22"/>
          <w:szCs w:val="22"/>
        </w:rPr>
        <w:t xml:space="preserve"> </w:t>
      </w:r>
    </w:p>
    <w:p w14:paraId="1CBA0E8E" w14:textId="77777777" w:rsidR="00E14D94" w:rsidRPr="004113AC" w:rsidRDefault="00E14D94" w:rsidP="00CB24C7">
      <w:pPr>
        <w:ind w:left="-567"/>
        <w:jc w:val="both"/>
        <w:rPr>
          <w:rFonts w:ascii="Arial" w:eastAsiaTheme="minorEastAsia" w:hAnsi="Arial" w:cs="Arial"/>
          <w:color w:val="000000" w:themeColor="text1"/>
          <w:sz w:val="22"/>
          <w:szCs w:val="22"/>
        </w:rPr>
      </w:pPr>
    </w:p>
    <w:p w14:paraId="781D9494" w14:textId="7E7C2DEC" w:rsidR="004113AC" w:rsidRDefault="004113AC" w:rsidP="00CB24C7">
      <w:pPr>
        <w:ind w:left="-567"/>
        <w:jc w:val="both"/>
        <w:rPr>
          <w:rFonts w:ascii="Arial" w:eastAsiaTheme="minorEastAsia" w:hAnsi="Arial" w:cs="Arial"/>
          <w:color w:val="000000" w:themeColor="text1"/>
          <w:sz w:val="22"/>
          <w:szCs w:val="22"/>
        </w:rPr>
      </w:pPr>
      <w:r w:rsidRPr="004113AC">
        <w:rPr>
          <w:rFonts w:ascii="Arial" w:eastAsiaTheme="minorEastAsia" w:hAnsi="Arial" w:cs="Arial"/>
          <w:color w:val="000000" w:themeColor="text1"/>
          <w:sz w:val="22"/>
          <w:szCs w:val="22"/>
        </w:rPr>
        <w:t>Así las cosas</w:t>
      </w:r>
      <w:r>
        <w:rPr>
          <w:rFonts w:ascii="Arial" w:eastAsiaTheme="minorEastAsia" w:hAnsi="Arial" w:cs="Arial"/>
          <w:color w:val="000000" w:themeColor="text1"/>
          <w:sz w:val="22"/>
          <w:szCs w:val="22"/>
        </w:rPr>
        <w:t xml:space="preserve">, </w:t>
      </w:r>
      <w:r w:rsidRPr="004113AC">
        <w:rPr>
          <w:rFonts w:ascii="Arial" w:eastAsiaTheme="minorEastAsia" w:hAnsi="Arial" w:cs="Arial"/>
          <w:color w:val="000000" w:themeColor="text1"/>
          <w:sz w:val="22"/>
          <w:szCs w:val="22"/>
        </w:rPr>
        <w:t xml:space="preserve">como resultado preliminar de la gestión de liquidación de los contratos de </w:t>
      </w:r>
      <w:proofErr w:type="spellStart"/>
      <w:r>
        <w:rPr>
          <w:rFonts w:ascii="Arial" w:eastAsiaTheme="minorEastAsia" w:hAnsi="Arial" w:cs="Arial"/>
          <w:color w:val="000000" w:themeColor="text1"/>
          <w:sz w:val="22"/>
          <w:szCs w:val="22"/>
        </w:rPr>
        <w:t>F</w:t>
      </w:r>
      <w:r w:rsidRPr="004113AC">
        <w:rPr>
          <w:rFonts w:ascii="Arial" w:eastAsiaTheme="minorEastAsia" w:hAnsi="Arial" w:cs="Arial"/>
          <w:color w:val="000000" w:themeColor="text1"/>
          <w:sz w:val="22"/>
          <w:szCs w:val="22"/>
        </w:rPr>
        <w:t>iduagraria</w:t>
      </w:r>
      <w:proofErr w:type="spellEnd"/>
      <w:r>
        <w:rPr>
          <w:rFonts w:ascii="Arial" w:eastAsiaTheme="minorEastAsia" w:hAnsi="Arial" w:cs="Arial"/>
          <w:color w:val="000000" w:themeColor="text1"/>
          <w:sz w:val="22"/>
          <w:szCs w:val="22"/>
        </w:rPr>
        <w:t>,</w:t>
      </w:r>
      <w:r w:rsidRPr="004113AC">
        <w:rPr>
          <w:rFonts w:ascii="Arial" w:eastAsiaTheme="minorEastAsia" w:hAnsi="Arial" w:cs="Arial"/>
          <w:color w:val="000000" w:themeColor="text1"/>
          <w:sz w:val="22"/>
          <w:szCs w:val="22"/>
        </w:rPr>
        <w:t xml:space="preserve"> se tiene lo siguiente</w:t>
      </w:r>
      <w:r>
        <w:rPr>
          <w:rFonts w:ascii="Arial" w:eastAsiaTheme="minorEastAsia" w:hAnsi="Arial" w:cs="Arial"/>
          <w:color w:val="000000" w:themeColor="text1"/>
          <w:sz w:val="22"/>
          <w:szCs w:val="22"/>
        </w:rPr>
        <w:t xml:space="preserve">: </w:t>
      </w:r>
    </w:p>
    <w:p w14:paraId="38EA0B47" w14:textId="77777777" w:rsidR="004113AC" w:rsidRDefault="004113AC" w:rsidP="00CB24C7">
      <w:pPr>
        <w:ind w:left="-567"/>
        <w:jc w:val="both"/>
        <w:rPr>
          <w:rFonts w:ascii="Arial" w:eastAsiaTheme="minorEastAsia" w:hAnsi="Arial" w:cs="Arial"/>
          <w:color w:val="000000" w:themeColor="text1"/>
          <w:sz w:val="22"/>
          <w:szCs w:val="22"/>
        </w:rPr>
      </w:pPr>
    </w:p>
    <w:p w14:paraId="79863620" w14:textId="11837EDC" w:rsidR="00A109EE" w:rsidRDefault="00A109EE" w:rsidP="00A109EE">
      <w:pPr>
        <w:pStyle w:val="Prrafodelista"/>
        <w:numPr>
          <w:ilvl w:val="0"/>
          <w:numId w:val="18"/>
        </w:numPr>
        <w:jc w:val="both"/>
        <w:rPr>
          <w:rFonts w:ascii="Arial" w:eastAsiaTheme="minorEastAsia" w:hAnsi="Arial" w:cs="Arial"/>
          <w:color w:val="000000" w:themeColor="text1"/>
          <w:sz w:val="22"/>
          <w:szCs w:val="22"/>
          <w:lang w:val="es-MX"/>
        </w:rPr>
      </w:pPr>
      <w:r w:rsidRPr="00A109EE">
        <w:rPr>
          <w:rFonts w:ascii="Arial" w:eastAsiaTheme="minorEastAsia" w:hAnsi="Arial" w:cs="Arial"/>
          <w:color w:val="000000" w:themeColor="text1"/>
          <w:sz w:val="22"/>
          <w:szCs w:val="22"/>
          <w:lang w:val="es-MX"/>
        </w:rPr>
        <w:t>La estipulación contractual de dos meses para la entrega de archivos, prevista originalmente para contratos pactados, resulta inaplicable de forma estricta para las vigencias 2018 y 2019, las cuales fueron extendidas mediante modificaciones contractuales hasta el 1 de diciembre de 2025. Esta extensión generó un volumen documental (físico y digital) que desborda la capacidad de revisión inmediata y exige un cotejo riguroso contra inventarios para evitar la ruptura de la cadena de custodia.</w:t>
      </w:r>
    </w:p>
    <w:p w14:paraId="5F799662" w14:textId="77777777" w:rsidR="00A109EE" w:rsidRDefault="00A109EE" w:rsidP="00A109EE">
      <w:pPr>
        <w:pStyle w:val="Prrafodelista"/>
        <w:ind w:left="-207"/>
        <w:jc w:val="both"/>
        <w:rPr>
          <w:rFonts w:ascii="Arial" w:eastAsiaTheme="minorEastAsia" w:hAnsi="Arial" w:cs="Arial"/>
          <w:color w:val="000000" w:themeColor="text1"/>
          <w:sz w:val="22"/>
          <w:szCs w:val="22"/>
          <w:lang w:val="es-MX"/>
        </w:rPr>
      </w:pPr>
    </w:p>
    <w:p w14:paraId="0B84837F" w14:textId="77777777" w:rsidR="00FC1692" w:rsidRDefault="00A109EE" w:rsidP="00FC1692">
      <w:pPr>
        <w:pStyle w:val="Prrafodelista"/>
        <w:numPr>
          <w:ilvl w:val="0"/>
          <w:numId w:val="18"/>
        </w:numPr>
        <w:jc w:val="both"/>
        <w:rPr>
          <w:rFonts w:ascii="Arial" w:eastAsiaTheme="minorEastAsia" w:hAnsi="Arial" w:cs="Arial"/>
          <w:color w:val="000000" w:themeColor="text1"/>
          <w:sz w:val="22"/>
          <w:szCs w:val="22"/>
          <w:lang w:val="es-MX"/>
        </w:rPr>
      </w:pPr>
      <w:r w:rsidRPr="00A109EE">
        <w:rPr>
          <w:rFonts w:ascii="Arial" w:eastAsiaTheme="minorEastAsia" w:hAnsi="Arial" w:cs="Arial"/>
          <w:color w:val="000000" w:themeColor="text1"/>
          <w:sz w:val="22"/>
          <w:szCs w:val="22"/>
          <w:lang w:val="es-MX"/>
        </w:rPr>
        <w:t>El plazo de entrega no puede darse por cumplido dado que la DGBPR advierte inconsistencias e incongruencias en el acta de entrega, toda vez que el principio de responsabilidad y la Ley 594 de 2000 obligan a las entidades a recibir únicamente archivos que cumplan con los principios de organización y fidelidad. Una recepción automática de información defectuosa viciaría el proceso de liquidación, impidiendo el perfeccionamiento de la entrega y trasladando una responsabilidad indebida al MADR por omisiones del contratista o la fiduciaria.</w:t>
      </w:r>
    </w:p>
    <w:p w14:paraId="75B5457F" w14:textId="77777777" w:rsidR="00FC1692" w:rsidRPr="00FC1692" w:rsidRDefault="00FC1692" w:rsidP="00FC1692">
      <w:pPr>
        <w:pStyle w:val="Prrafodelista"/>
        <w:rPr>
          <w:rFonts w:ascii="Arial" w:eastAsiaTheme="minorEastAsia" w:hAnsi="Arial" w:cs="Arial"/>
          <w:color w:val="000000" w:themeColor="text1"/>
          <w:sz w:val="22"/>
          <w:szCs w:val="22"/>
          <w:lang w:val="es-MX"/>
        </w:rPr>
      </w:pPr>
    </w:p>
    <w:p w14:paraId="309C4093" w14:textId="77777777" w:rsidR="00B106C4" w:rsidRDefault="00A109EE" w:rsidP="00B106C4">
      <w:pPr>
        <w:pStyle w:val="Prrafodelista"/>
        <w:numPr>
          <w:ilvl w:val="0"/>
          <w:numId w:val="18"/>
        </w:numPr>
        <w:jc w:val="both"/>
        <w:rPr>
          <w:rFonts w:ascii="Arial" w:eastAsiaTheme="minorEastAsia" w:hAnsi="Arial" w:cs="Arial"/>
          <w:color w:val="000000" w:themeColor="text1"/>
          <w:sz w:val="22"/>
          <w:szCs w:val="22"/>
          <w:lang w:val="es-MX"/>
        </w:rPr>
      </w:pPr>
      <w:r w:rsidRPr="00FC1692">
        <w:rPr>
          <w:rFonts w:ascii="Arial" w:eastAsiaTheme="minorEastAsia" w:hAnsi="Arial" w:cs="Arial"/>
          <w:color w:val="000000" w:themeColor="text1"/>
          <w:sz w:val="22"/>
          <w:szCs w:val="22"/>
          <w:lang w:val="es-MX"/>
        </w:rPr>
        <w:t xml:space="preserve">Actualmente, la Dirección de Gestión de Bienes Públicos Rurales (DGBPR) ya ha procedido a informar formalmente sobre las incongruencias detectadas en la información entregada, asegurando que el proceso de liquidación no se vea comprometido por datos inexactos o </w:t>
      </w:r>
      <w:r w:rsidRPr="00FC1692">
        <w:rPr>
          <w:rFonts w:ascii="Arial" w:eastAsiaTheme="minorEastAsia" w:hAnsi="Arial" w:cs="Arial"/>
          <w:color w:val="000000" w:themeColor="text1"/>
          <w:sz w:val="22"/>
          <w:szCs w:val="22"/>
          <w:lang w:val="es-MX"/>
        </w:rPr>
        <w:lastRenderedPageBreak/>
        <w:t>expedientes incompletos. Bajo esta premisa, la Dirección continúa</w:t>
      </w:r>
      <w:r w:rsidR="00FC1692" w:rsidRPr="00FC1692">
        <w:rPr>
          <w:rFonts w:ascii="Arial" w:eastAsiaTheme="minorEastAsia" w:hAnsi="Arial" w:cs="Arial"/>
          <w:color w:val="000000" w:themeColor="text1"/>
          <w:sz w:val="22"/>
          <w:szCs w:val="22"/>
          <w:lang w:val="es-MX"/>
        </w:rPr>
        <w:t xml:space="preserve"> </w:t>
      </w:r>
      <w:r w:rsidRPr="00FC1692">
        <w:rPr>
          <w:rFonts w:ascii="Arial" w:eastAsiaTheme="minorEastAsia" w:hAnsi="Arial" w:cs="Arial"/>
          <w:color w:val="000000" w:themeColor="text1"/>
          <w:sz w:val="22"/>
          <w:szCs w:val="22"/>
          <w:lang w:val="es-MX"/>
        </w:rPr>
        <w:t>adelantando de manera rigurosa las labores de organización documental sobre los 100</w:t>
      </w:r>
      <w:r w:rsidR="00FC1692" w:rsidRPr="00FC1692">
        <w:rPr>
          <w:rFonts w:ascii="Arial" w:eastAsiaTheme="minorEastAsia" w:hAnsi="Arial" w:cs="Arial"/>
          <w:color w:val="000000" w:themeColor="text1"/>
          <w:sz w:val="22"/>
          <w:szCs w:val="22"/>
          <w:lang w:val="es-MX"/>
        </w:rPr>
        <w:t xml:space="preserve"> </w:t>
      </w:r>
      <w:r w:rsidRPr="00FC1692">
        <w:rPr>
          <w:rFonts w:ascii="Arial" w:eastAsiaTheme="minorEastAsia" w:hAnsi="Arial" w:cs="Arial"/>
          <w:color w:val="000000" w:themeColor="text1"/>
          <w:sz w:val="22"/>
          <w:szCs w:val="22"/>
          <w:lang w:val="es-MX"/>
        </w:rPr>
        <w:t>metros lineales identificados, lo cual permitirá consolidar un acervo íntegro y confiable.</w:t>
      </w:r>
    </w:p>
    <w:p w14:paraId="756611F4" w14:textId="77777777" w:rsidR="00B106C4" w:rsidRPr="00B106C4" w:rsidRDefault="00B106C4" w:rsidP="00B106C4">
      <w:pPr>
        <w:pStyle w:val="Prrafodelista"/>
        <w:rPr>
          <w:rFonts w:ascii="Arial" w:eastAsiaTheme="minorEastAsia" w:hAnsi="Arial" w:cs="Arial"/>
          <w:color w:val="000000" w:themeColor="text1"/>
          <w:sz w:val="22"/>
          <w:szCs w:val="22"/>
          <w:lang w:val="es-MX"/>
        </w:rPr>
      </w:pPr>
    </w:p>
    <w:p w14:paraId="324EF039" w14:textId="77B3A59B" w:rsidR="004113AC" w:rsidRPr="00B106C4" w:rsidRDefault="00A109EE" w:rsidP="00B106C4">
      <w:pPr>
        <w:pStyle w:val="Prrafodelista"/>
        <w:numPr>
          <w:ilvl w:val="0"/>
          <w:numId w:val="18"/>
        </w:numPr>
        <w:jc w:val="both"/>
        <w:rPr>
          <w:rFonts w:ascii="Arial" w:eastAsiaTheme="minorEastAsia" w:hAnsi="Arial" w:cs="Arial"/>
          <w:color w:val="000000" w:themeColor="text1"/>
          <w:sz w:val="22"/>
          <w:szCs w:val="22"/>
          <w:lang w:val="es-MX"/>
        </w:rPr>
      </w:pPr>
      <w:r w:rsidRPr="00B106C4">
        <w:rPr>
          <w:rFonts w:ascii="Arial" w:eastAsiaTheme="minorEastAsia" w:hAnsi="Arial" w:cs="Arial"/>
          <w:color w:val="000000" w:themeColor="text1"/>
          <w:sz w:val="22"/>
          <w:szCs w:val="22"/>
          <w:lang w:val="es-MX"/>
        </w:rPr>
        <w:t>Esta intervención técnica es el paso previo indispensable para contar con los soportes</w:t>
      </w:r>
      <w:r w:rsidR="00FC1692" w:rsidRPr="00B106C4">
        <w:rPr>
          <w:rFonts w:ascii="Arial" w:eastAsiaTheme="minorEastAsia" w:hAnsi="Arial" w:cs="Arial"/>
          <w:color w:val="000000" w:themeColor="text1"/>
          <w:sz w:val="22"/>
          <w:szCs w:val="22"/>
          <w:lang w:val="es-MX"/>
        </w:rPr>
        <w:t xml:space="preserve"> </w:t>
      </w:r>
      <w:r w:rsidRPr="00B106C4">
        <w:rPr>
          <w:rFonts w:ascii="Arial" w:eastAsiaTheme="minorEastAsia" w:hAnsi="Arial" w:cs="Arial"/>
          <w:color w:val="000000" w:themeColor="text1"/>
          <w:sz w:val="22"/>
          <w:szCs w:val="22"/>
          <w:lang w:val="es-MX"/>
        </w:rPr>
        <w:t>técnicos y financieros definitivos que sustenten el ajuste de cuentas pretendido en la</w:t>
      </w:r>
      <w:r w:rsidR="00FC1692" w:rsidRPr="00B106C4">
        <w:rPr>
          <w:rFonts w:ascii="Arial" w:eastAsiaTheme="minorEastAsia" w:hAnsi="Arial" w:cs="Arial"/>
          <w:color w:val="000000" w:themeColor="text1"/>
          <w:sz w:val="22"/>
          <w:szCs w:val="22"/>
          <w:lang w:val="es-MX"/>
        </w:rPr>
        <w:t xml:space="preserve"> </w:t>
      </w:r>
      <w:r w:rsidRPr="00B106C4">
        <w:rPr>
          <w:rFonts w:ascii="Arial" w:eastAsiaTheme="minorEastAsia" w:hAnsi="Arial" w:cs="Arial"/>
          <w:color w:val="000000" w:themeColor="text1"/>
          <w:sz w:val="22"/>
          <w:szCs w:val="22"/>
          <w:lang w:val="es-MX"/>
        </w:rPr>
        <w:t>etapa de liquidación. Solo mediante la estabilización y depuración del archivo de gestión,</w:t>
      </w:r>
      <w:r w:rsidR="00FC1692" w:rsidRPr="00B106C4">
        <w:rPr>
          <w:rFonts w:ascii="Arial" w:eastAsiaTheme="minorEastAsia" w:hAnsi="Arial" w:cs="Arial"/>
          <w:color w:val="000000" w:themeColor="text1"/>
          <w:sz w:val="22"/>
          <w:szCs w:val="22"/>
          <w:lang w:val="es-MX"/>
        </w:rPr>
        <w:t xml:space="preserve"> </w:t>
      </w:r>
      <w:r w:rsidRPr="00B106C4">
        <w:rPr>
          <w:rFonts w:ascii="Arial" w:eastAsiaTheme="minorEastAsia" w:hAnsi="Arial" w:cs="Arial"/>
          <w:color w:val="000000" w:themeColor="text1"/>
          <w:sz w:val="22"/>
          <w:szCs w:val="22"/>
          <w:lang w:val="es-MX"/>
        </w:rPr>
        <w:t>el MADR podrá garantizar que el cruce de obligaciones con la fiduciaria refleje la realidad</w:t>
      </w:r>
      <w:r w:rsidR="00FC1692" w:rsidRPr="00B106C4">
        <w:rPr>
          <w:rFonts w:ascii="Arial" w:eastAsiaTheme="minorEastAsia" w:hAnsi="Arial" w:cs="Arial"/>
          <w:color w:val="000000" w:themeColor="text1"/>
          <w:sz w:val="22"/>
          <w:szCs w:val="22"/>
          <w:lang w:val="es-MX"/>
        </w:rPr>
        <w:t xml:space="preserve"> </w:t>
      </w:r>
      <w:r w:rsidRPr="00B106C4">
        <w:rPr>
          <w:rFonts w:ascii="Arial" w:eastAsiaTheme="minorEastAsia" w:hAnsi="Arial" w:cs="Arial"/>
          <w:color w:val="000000" w:themeColor="text1"/>
          <w:sz w:val="22"/>
          <w:szCs w:val="22"/>
          <w:lang w:val="es-MX"/>
        </w:rPr>
        <w:t>de la ejecución ejecutada entre</w:t>
      </w:r>
      <w:r w:rsidR="00B106C4" w:rsidRPr="00B106C4">
        <w:rPr>
          <w:rFonts w:ascii="Arial" w:eastAsiaTheme="minorEastAsia" w:hAnsi="Arial" w:cs="Arial"/>
          <w:color w:val="000000" w:themeColor="text1"/>
          <w:sz w:val="22"/>
          <w:szCs w:val="22"/>
          <w:lang w:val="es-MX"/>
        </w:rPr>
        <w:t xml:space="preserve"> 2018 y 2025, blindando así la responsabilidad fiscal y administrativa de la entidad</w:t>
      </w:r>
    </w:p>
    <w:p w14:paraId="727FB7D8" w14:textId="77777777" w:rsidR="004113AC" w:rsidRPr="004113AC" w:rsidRDefault="004113AC" w:rsidP="00CB24C7">
      <w:pPr>
        <w:ind w:left="-567"/>
        <w:jc w:val="both"/>
        <w:rPr>
          <w:rFonts w:ascii="Arial" w:eastAsiaTheme="minorEastAsia" w:hAnsi="Arial" w:cs="Arial"/>
          <w:color w:val="000000" w:themeColor="text1"/>
          <w:sz w:val="22"/>
          <w:szCs w:val="22"/>
        </w:rPr>
      </w:pPr>
    </w:p>
    <w:p w14:paraId="2A2900F0" w14:textId="0CB43678" w:rsidR="00A3298C" w:rsidRDefault="00A3298C" w:rsidP="00B106C4">
      <w:pPr>
        <w:ind w:left="-567"/>
        <w:jc w:val="both"/>
        <w:rPr>
          <w:rFonts w:ascii="Arial" w:eastAsiaTheme="minorEastAsia" w:hAnsi="Arial" w:cs="Arial"/>
          <w:color w:val="000000" w:themeColor="text1"/>
          <w:sz w:val="22"/>
          <w:szCs w:val="22"/>
        </w:rPr>
      </w:pPr>
    </w:p>
    <w:p w14:paraId="1439002B" w14:textId="661BCB77" w:rsidR="00642553" w:rsidRDefault="003B78D0" w:rsidP="005F760B">
      <w:pPr>
        <w:pStyle w:val="Ttulo1"/>
        <w:numPr>
          <w:ilvl w:val="0"/>
          <w:numId w:val="7"/>
        </w:numPr>
        <w:spacing w:before="0"/>
        <w:rPr>
          <w:rFonts w:ascii="Arial" w:hAnsi="Arial" w:cs="Arial"/>
          <w:b/>
          <w:bCs/>
          <w:color w:val="0070C0"/>
          <w:sz w:val="22"/>
          <w:szCs w:val="22"/>
        </w:rPr>
      </w:pPr>
      <w:bookmarkStart w:id="28" w:name="_Toc225874787"/>
      <w:r w:rsidRPr="00B707DE">
        <w:rPr>
          <w:rFonts w:ascii="Arial" w:hAnsi="Arial" w:cs="Arial"/>
          <w:b/>
          <w:bCs/>
          <w:color w:val="385623" w:themeColor="accent6" w:themeShade="80"/>
          <w:sz w:val="22"/>
          <w:szCs w:val="22"/>
        </w:rPr>
        <w:t>AUTOGESTIÓN</w:t>
      </w:r>
      <w:bookmarkEnd w:id="28"/>
    </w:p>
    <w:p w14:paraId="325D1405" w14:textId="77777777" w:rsidR="00213B0C" w:rsidRDefault="00213B0C" w:rsidP="00213B0C">
      <w:pPr>
        <w:rPr>
          <w:b/>
          <w:bCs/>
          <w:color w:val="EE0000"/>
        </w:rPr>
      </w:pPr>
    </w:p>
    <w:p w14:paraId="21879C07" w14:textId="77777777" w:rsidR="00213B0C" w:rsidRDefault="00213B0C" w:rsidP="00AE276E">
      <w:pPr>
        <w:ind w:left="-567"/>
        <w:jc w:val="both"/>
        <w:rPr>
          <w:rFonts w:ascii="Arial" w:eastAsiaTheme="minorEastAsia" w:hAnsi="Arial" w:cs="Arial"/>
          <w:color w:val="000000" w:themeColor="text1"/>
          <w:sz w:val="22"/>
          <w:szCs w:val="22"/>
        </w:rPr>
      </w:pPr>
      <w:r w:rsidRPr="00213B0C">
        <w:rPr>
          <w:b/>
          <w:bCs/>
          <w:color w:val="EE0000"/>
        </w:rPr>
        <w:t>YAMILE – JOHANNA – MARIA JULIANA</w:t>
      </w:r>
      <w:r>
        <w:rPr>
          <w:rFonts w:ascii="Arial" w:eastAsiaTheme="minorEastAsia" w:hAnsi="Arial" w:cs="Arial"/>
          <w:color w:val="000000" w:themeColor="text1"/>
          <w:sz w:val="22"/>
          <w:szCs w:val="22"/>
        </w:rPr>
        <w:t xml:space="preserve"> </w:t>
      </w:r>
    </w:p>
    <w:p w14:paraId="3E93AA89" w14:textId="7214C2F1" w:rsidR="00CD0953" w:rsidRPr="00CD0953" w:rsidRDefault="00AE276E" w:rsidP="00AE276E">
      <w:pPr>
        <w:ind w:left="-567"/>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La</w:t>
      </w:r>
      <w:r w:rsidR="00461A83">
        <w:rPr>
          <w:rFonts w:ascii="Arial" w:eastAsiaTheme="minorEastAsia" w:hAnsi="Arial" w:cs="Arial"/>
          <w:color w:val="000000" w:themeColor="text1"/>
          <w:sz w:val="22"/>
          <w:szCs w:val="22"/>
        </w:rPr>
        <w:t xml:space="preserve">s actividades que desarrolla el equipo de </w:t>
      </w:r>
      <w:r w:rsidR="00237CFE">
        <w:rPr>
          <w:rFonts w:ascii="Arial" w:eastAsiaTheme="minorEastAsia" w:hAnsi="Arial" w:cs="Arial"/>
          <w:color w:val="000000" w:themeColor="text1"/>
          <w:sz w:val="22"/>
          <w:szCs w:val="22"/>
        </w:rPr>
        <w:t xml:space="preserve">la Dirección de Gestión de Bienes Públicos Rurales </w:t>
      </w:r>
      <w:r w:rsidR="00536E00">
        <w:rPr>
          <w:rFonts w:ascii="Arial" w:eastAsiaTheme="minorEastAsia" w:hAnsi="Arial" w:cs="Arial"/>
          <w:color w:val="000000" w:themeColor="text1"/>
          <w:sz w:val="22"/>
          <w:szCs w:val="22"/>
        </w:rPr>
        <w:t xml:space="preserve">para culminar </w:t>
      </w:r>
      <w:r w:rsidR="00441E0B">
        <w:rPr>
          <w:rFonts w:ascii="Arial" w:eastAsiaTheme="minorEastAsia" w:hAnsi="Arial" w:cs="Arial"/>
          <w:color w:val="000000" w:themeColor="text1"/>
          <w:sz w:val="22"/>
          <w:szCs w:val="22"/>
        </w:rPr>
        <w:t xml:space="preserve">la materialización de los </w:t>
      </w:r>
      <w:r w:rsidR="00536E00">
        <w:rPr>
          <w:rFonts w:ascii="Arial" w:eastAsiaTheme="minorEastAsia" w:hAnsi="Arial" w:cs="Arial"/>
          <w:color w:val="000000" w:themeColor="text1"/>
          <w:sz w:val="22"/>
          <w:szCs w:val="22"/>
        </w:rPr>
        <w:t xml:space="preserve">subsidios de vivienda </w:t>
      </w:r>
      <w:r w:rsidR="004D1162">
        <w:rPr>
          <w:rFonts w:ascii="Arial" w:eastAsiaTheme="minorEastAsia" w:hAnsi="Arial" w:cs="Arial"/>
          <w:color w:val="000000" w:themeColor="text1"/>
          <w:sz w:val="22"/>
          <w:szCs w:val="22"/>
        </w:rPr>
        <w:t>en la modalidad de autogestión</w:t>
      </w:r>
      <w:r w:rsidR="00BF1316">
        <w:rPr>
          <w:rFonts w:ascii="Arial" w:eastAsiaTheme="minorEastAsia" w:hAnsi="Arial" w:cs="Arial"/>
          <w:color w:val="000000" w:themeColor="text1"/>
          <w:sz w:val="22"/>
          <w:szCs w:val="22"/>
        </w:rPr>
        <w:t xml:space="preserve"> para URT por las órdenes judiciales del año 2022, se presentan a continuación: </w:t>
      </w:r>
    </w:p>
    <w:p w14:paraId="6664F19E" w14:textId="4F13BCBF" w:rsidR="00CD0953" w:rsidRPr="00CD0953" w:rsidRDefault="00CD0953" w:rsidP="00BC0F32">
      <w:pPr>
        <w:ind w:left="-567"/>
        <w:jc w:val="both"/>
        <w:rPr>
          <w:lang w:val="es-MX"/>
        </w:rPr>
      </w:pPr>
      <w:r w:rsidRPr="00CD0953">
        <w:rPr>
          <w:rFonts w:ascii="Arial" w:eastAsiaTheme="minorEastAsia" w:hAnsi="Arial" w:cs="Arial"/>
          <w:color w:val="000000" w:themeColor="text1"/>
          <w:sz w:val="22"/>
          <w:szCs w:val="22"/>
        </w:rPr>
        <w:t> </w:t>
      </w:r>
      <w:r w:rsidRPr="00CD0953">
        <w:rPr>
          <w:lang w:val="es-MX"/>
        </w:rPr>
        <w:t></w:t>
      </w:r>
    </w:p>
    <w:tbl>
      <w:tblPr>
        <w:tblW w:w="992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61"/>
        <w:gridCol w:w="1612"/>
        <w:gridCol w:w="1284"/>
        <w:gridCol w:w="1318"/>
        <w:gridCol w:w="2448"/>
      </w:tblGrid>
      <w:tr w:rsidR="00CD0953" w:rsidRPr="00CD0953" w14:paraId="2289C0AC" w14:textId="77777777" w:rsidTr="00475BA5">
        <w:trPr>
          <w:trHeight w:val="446"/>
        </w:trPr>
        <w:tc>
          <w:tcPr>
            <w:tcW w:w="9923" w:type="dxa"/>
            <w:gridSpan w:val="5"/>
            <w:shd w:val="clear" w:color="auto" w:fill="FFD966"/>
            <w:tcMar>
              <w:top w:w="15" w:type="dxa"/>
              <w:left w:w="15" w:type="dxa"/>
              <w:bottom w:w="15" w:type="dxa"/>
              <w:right w:w="15" w:type="dxa"/>
            </w:tcMar>
            <w:vAlign w:val="center"/>
            <w:hideMark/>
          </w:tcPr>
          <w:p w14:paraId="4996355B" w14:textId="41C6DBB5" w:rsidR="00BF1316" w:rsidRPr="00CD0953" w:rsidRDefault="00CD0953" w:rsidP="00BF1316">
            <w:pPr>
              <w:jc w:val="center"/>
              <w:rPr>
                <w:b/>
                <w:bCs/>
                <w:sz w:val="20"/>
                <w:szCs w:val="20"/>
                <w:lang w:val="es-MX"/>
              </w:rPr>
            </w:pPr>
            <w:r w:rsidRPr="00CD0953">
              <w:rPr>
                <w:b/>
                <w:bCs/>
                <w:sz w:val="20"/>
                <w:szCs w:val="20"/>
                <w:lang w:val="es-MX"/>
              </w:rPr>
              <w:t>DATOS GENERALES DE AUTOGESTION</w:t>
            </w:r>
          </w:p>
        </w:tc>
      </w:tr>
      <w:tr w:rsidR="00CD0953" w:rsidRPr="00BF1316" w14:paraId="300F397F" w14:textId="77777777" w:rsidTr="00BF1316">
        <w:trPr>
          <w:trHeight w:val="327"/>
        </w:trPr>
        <w:tc>
          <w:tcPr>
            <w:tcW w:w="3261" w:type="dxa"/>
            <w:shd w:val="clear" w:color="auto" w:fill="FFFFFF"/>
            <w:tcMar>
              <w:top w:w="15" w:type="dxa"/>
              <w:left w:w="15" w:type="dxa"/>
              <w:bottom w:w="15" w:type="dxa"/>
              <w:right w:w="15" w:type="dxa"/>
            </w:tcMar>
            <w:vAlign w:val="center"/>
            <w:hideMark/>
          </w:tcPr>
          <w:p w14:paraId="19B14D72" w14:textId="039F9C97" w:rsidR="00CD0953" w:rsidRPr="00CD0953" w:rsidRDefault="00CD0953" w:rsidP="00CD0953">
            <w:pPr>
              <w:jc w:val="center"/>
              <w:rPr>
                <w:sz w:val="20"/>
                <w:szCs w:val="20"/>
                <w:lang w:val="es-MX"/>
              </w:rPr>
            </w:pPr>
            <w:r w:rsidRPr="00CD0953">
              <w:rPr>
                <w:b/>
                <w:bCs/>
                <w:sz w:val="20"/>
                <w:szCs w:val="20"/>
                <w:lang w:val="es-MX"/>
              </w:rPr>
              <w:t>ESTADO DEL SUBSIDIO</w:t>
            </w:r>
          </w:p>
        </w:tc>
        <w:tc>
          <w:tcPr>
            <w:tcW w:w="1612" w:type="dxa"/>
            <w:shd w:val="clear" w:color="auto" w:fill="FFFFFF"/>
            <w:tcMar>
              <w:top w:w="15" w:type="dxa"/>
              <w:left w:w="15" w:type="dxa"/>
              <w:bottom w:w="15" w:type="dxa"/>
              <w:right w:w="15" w:type="dxa"/>
            </w:tcMar>
            <w:vAlign w:val="center"/>
            <w:hideMark/>
          </w:tcPr>
          <w:p w14:paraId="41F4C26A" w14:textId="77777777" w:rsidR="00CD0953" w:rsidRPr="00CD0953" w:rsidRDefault="00CD0953" w:rsidP="00CD0953">
            <w:pPr>
              <w:jc w:val="center"/>
              <w:rPr>
                <w:sz w:val="20"/>
                <w:szCs w:val="20"/>
                <w:lang w:val="es-MX"/>
              </w:rPr>
            </w:pPr>
            <w:r w:rsidRPr="00CD0953">
              <w:rPr>
                <w:b/>
                <w:bCs/>
                <w:sz w:val="20"/>
                <w:szCs w:val="20"/>
                <w:lang w:val="es-MX"/>
              </w:rPr>
              <w:t>HISTORICO</w:t>
            </w:r>
          </w:p>
        </w:tc>
        <w:tc>
          <w:tcPr>
            <w:tcW w:w="1284" w:type="dxa"/>
            <w:shd w:val="clear" w:color="auto" w:fill="FFFFFF"/>
            <w:tcMar>
              <w:top w:w="15" w:type="dxa"/>
              <w:left w:w="15" w:type="dxa"/>
              <w:bottom w:w="15" w:type="dxa"/>
              <w:right w:w="15" w:type="dxa"/>
            </w:tcMar>
            <w:vAlign w:val="center"/>
            <w:hideMark/>
          </w:tcPr>
          <w:p w14:paraId="65D33898" w14:textId="77777777" w:rsidR="00CD0953" w:rsidRPr="00CD0953" w:rsidRDefault="00CD0953" w:rsidP="00CD0953">
            <w:pPr>
              <w:jc w:val="center"/>
              <w:rPr>
                <w:sz w:val="20"/>
                <w:szCs w:val="20"/>
                <w:lang w:val="es-MX"/>
              </w:rPr>
            </w:pPr>
            <w:r w:rsidRPr="00CD0953">
              <w:rPr>
                <w:b/>
                <w:bCs/>
                <w:sz w:val="20"/>
                <w:szCs w:val="20"/>
                <w:lang w:val="es-MX"/>
              </w:rPr>
              <w:t>GESTION 2024</w:t>
            </w:r>
          </w:p>
        </w:tc>
        <w:tc>
          <w:tcPr>
            <w:tcW w:w="1318" w:type="dxa"/>
            <w:shd w:val="clear" w:color="auto" w:fill="FFFFFF"/>
            <w:tcMar>
              <w:top w:w="15" w:type="dxa"/>
              <w:left w:w="15" w:type="dxa"/>
              <w:bottom w:w="15" w:type="dxa"/>
              <w:right w:w="15" w:type="dxa"/>
            </w:tcMar>
            <w:vAlign w:val="center"/>
            <w:hideMark/>
          </w:tcPr>
          <w:p w14:paraId="732F021F" w14:textId="77777777" w:rsidR="00CD0953" w:rsidRPr="00CD0953" w:rsidRDefault="00CD0953" w:rsidP="00CD0953">
            <w:pPr>
              <w:jc w:val="center"/>
              <w:rPr>
                <w:sz w:val="20"/>
                <w:szCs w:val="20"/>
                <w:lang w:val="es-MX"/>
              </w:rPr>
            </w:pPr>
            <w:r w:rsidRPr="00CD0953">
              <w:rPr>
                <w:b/>
                <w:bCs/>
                <w:sz w:val="20"/>
                <w:szCs w:val="20"/>
                <w:lang w:val="es-MX"/>
              </w:rPr>
              <w:t>GESTION 2025</w:t>
            </w:r>
          </w:p>
        </w:tc>
        <w:tc>
          <w:tcPr>
            <w:tcW w:w="2448" w:type="dxa"/>
            <w:shd w:val="clear" w:color="auto" w:fill="FFFFFF"/>
            <w:tcMar>
              <w:top w:w="15" w:type="dxa"/>
              <w:left w:w="15" w:type="dxa"/>
              <w:bottom w:w="15" w:type="dxa"/>
              <w:right w:w="15" w:type="dxa"/>
            </w:tcMar>
            <w:vAlign w:val="center"/>
            <w:hideMark/>
          </w:tcPr>
          <w:p w14:paraId="6D715678" w14:textId="1D471085" w:rsidR="00CD0953" w:rsidRPr="00CD0953" w:rsidRDefault="00CD0953" w:rsidP="00CD0953">
            <w:pPr>
              <w:jc w:val="center"/>
              <w:rPr>
                <w:sz w:val="20"/>
                <w:szCs w:val="20"/>
                <w:lang w:val="es-MX"/>
              </w:rPr>
            </w:pPr>
            <w:r w:rsidRPr="00CD0953">
              <w:rPr>
                <w:b/>
                <w:bCs/>
                <w:sz w:val="20"/>
                <w:szCs w:val="20"/>
                <w:lang w:val="es-MX"/>
              </w:rPr>
              <w:t>OBSERVACIONES</w:t>
            </w:r>
          </w:p>
        </w:tc>
      </w:tr>
      <w:tr w:rsidR="00CD0953" w:rsidRPr="00BF1316" w14:paraId="0D127D62" w14:textId="77777777" w:rsidTr="00BF1316">
        <w:trPr>
          <w:trHeight w:val="223"/>
        </w:trPr>
        <w:tc>
          <w:tcPr>
            <w:tcW w:w="3261" w:type="dxa"/>
            <w:shd w:val="clear" w:color="auto" w:fill="FFFFFF"/>
            <w:tcMar>
              <w:top w:w="15" w:type="dxa"/>
              <w:left w:w="15" w:type="dxa"/>
              <w:bottom w:w="15" w:type="dxa"/>
              <w:right w:w="15" w:type="dxa"/>
            </w:tcMar>
            <w:vAlign w:val="center"/>
            <w:hideMark/>
          </w:tcPr>
          <w:p w14:paraId="5EDBEB9A" w14:textId="77777777" w:rsidR="00CD0953" w:rsidRPr="00CD0953" w:rsidRDefault="00CD0953" w:rsidP="00CD0953">
            <w:pPr>
              <w:jc w:val="center"/>
              <w:rPr>
                <w:sz w:val="20"/>
                <w:szCs w:val="20"/>
                <w:lang w:val="es-MX"/>
              </w:rPr>
            </w:pPr>
            <w:r w:rsidRPr="00CD0953">
              <w:rPr>
                <w:sz w:val="20"/>
                <w:szCs w:val="20"/>
                <w:lang w:val="es-MX"/>
              </w:rPr>
              <w:t>ADJUDICADOS</w:t>
            </w:r>
          </w:p>
        </w:tc>
        <w:tc>
          <w:tcPr>
            <w:tcW w:w="1612" w:type="dxa"/>
            <w:shd w:val="clear" w:color="auto" w:fill="FFFFFF"/>
            <w:tcMar>
              <w:top w:w="15" w:type="dxa"/>
              <w:left w:w="15" w:type="dxa"/>
              <w:bottom w:w="15" w:type="dxa"/>
              <w:right w:w="15" w:type="dxa"/>
            </w:tcMar>
            <w:vAlign w:val="center"/>
            <w:hideMark/>
          </w:tcPr>
          <w:p w14:paraId="35EA5374" w14:textId="77777777" w:rsidR="00CD0953" w:rsidRPr="00CD0953" w:rsidRDefault="00CD0953" w:rsidP="00CD0953">
            <w:pPr>
              <w:jc w:val="center"/>
              <w:rPr>
                <w:sz w:val="20"/>
                <w:szCs w:val="20"/>
                <w:lang w:val="es-MX"/>
              </w:rPr>
            </w:pPr>
            <w:r w:rsidRPr="00CD0953">
              <w:rPr>
                <w:sz w:val="20"/>
                <w:szCs w:val="20"/>
                <w:lang w:val="es-MX"/>
              </w:rPr>
              <w:t>670</w:t>
            </w:r>
          </w:p>
        </w:tc>
        <w:tc>
          <w:tcPr>
            <w:tcW w:w="1284" w:type="dxa"/>
            <w:shd w:val="clear" w:color="auto" w:fill="FFFFFF"/>
            <w:tcMar>
              <w:top w:w="15" w:type="dxa"/>
              <w:left w:w="15" w:type="dxa"/>
              <w:bottom w:w="15" w:type="dxa"/>
              <w:right w:w="15" w:type="dxa"/>
            </w:tcMar>
            <w:vAlign w:val="center"/>
            <w:hideMark/>
          </w:tcPr>
          <w:p w14:paraId="7990612E" w14:textId="77777777" w:rsidR="00CD0953" w:rsidRPr="00CD0953" w:rsidRDefault="00CD0953" w:rsidP="00CD0953">
            <w:pPr>
              <w:jc w:val="center"/>
              <w:rPr>
                <w:sz w:val="20"/>
                <w:szCs w:val="20"/>
                <w:lang w:val="es-MX"/>
              </w:rPr>
            </w:pPr>
            <w:r w:rsidRPr="00CD0953">
              <w:rPr>
                <w:sz w:val="20"/>
                <w:szCs w:val="20"/>
                <w:lang w:val="es-MX"/>
              </w:rPr>
              <w:t>0</w:t>
            </w:r>
          </w:p>
        </w:tc>
        <w:tc>
          <w:tcPr>
            <w:tcW w:w="1318" w:type="dxa"/>
            <w:shd w:val="clear" w:color="auto" w:fill="FFFFFF"/>
            <w:tcMar>
              <w:top w:w="15" w:type="dxa"/>
              <w:left w:w="15" w:type="dxa"/>
              <w:bottom w:w="15" w:type="dxa"/>
              <w:right w:w="15" w:type="dxa"/>
            </w:tcMar>
            <w:vAlign w:val="center"/>
            <w:hideMark/>
          </w:tcPr>
          <w:p w14:paraId="32ED0BF6" w14:textId="0F7BF62F" w:rsidR="00CD0953" w:rsidRPr="00CD0953" w:rsidRDefault="00326F1D" w:rsidP="00CD0953">
            <w:pPr>
              <w:jc w:val="center"/>
              <w:rPr>
                <w:sz w:val="20"/>
                <w:szCs w:val="20"/>
                <w:lang w:val="es-MX"/>
              </w:rPr>
            </w:pPr>
            <w:r>
              <w:rPr>
                <w:sz w:val="20"/>
                <w:szCs w:val="20"/>
                <w:lang w:val="es-MX"/>
              </w:rPr>
              <w:t>39</w:t>
            </w:r>
          </w:p>
        </w:tc>
        <w:tc>
          <w:tcPr>
            <w:tcW w:w="2448" w:type="dxa"/>
            <w:shd w:val="clear" w:color="auto" w:fill="FFFFFF"/>
            <w:tcMar>
              <w:top w:w="15" w:type="dxa"/>
              <w:left w:w="15" w:type="dxa"/>
              <w:bottom w:w="15" w:type="dxa"/>
              <w:right w:w="15" w:type="dxa"/>
            </w:tcMar>
            <w:vAlign w:val="center"/>
            <w:hideMark/>
          </w:tcPr>
          <w:p w14:paraId="4AF0A5B9" w14:textId="77777777" w:rsidR="00CD0953" w:rsidRPr="00CD0953" w:rsidRDefault="00CD0953" w:rsidP="00CD0953">
            <w:pPr>
              <w:jc w:val="center"/>
              <w:rPr>
                <w:sz w:val="20"/>
                <w:szCs w:val="20"/>
                <w:lang w:val="es-MX"/>
              </w:rPr>
            </w:pPr>
            <w:r w:rsidRPr="00CD0953">
              <w:rPr>
                <w:sz w:val="20"/>
                <w:szCs w:val="20"/>
                <w:lang w:val="es-MX"/>
              </w:rPr>
              <w:t>REPORTE DE AUTOGESTION</w:t>
            </w:r>
          </w:p>
        </w:tc>
      </w:tr>
      <w:tr w:rsidR="00CD0953" w:rsidRPr="00BF1316" w14:paraId="5DF0DFAB" w14:textId="77777777" w:rsidTr="00BF1316">
        <w:trPr>
          <w:trHeight w:val="714"/>
        </w:trPr>
        <w:tc>
          <w:tcPr>
            <w:tcW w:w="3261" w:type="dxa"/>
            <w:shd w:val="clear" w:color="auto" w:fill="FFFFFF"/>
            <w:tcMar>
              <w:top w:w="15" w:type="dxa"/>
              <w:left w:w="15" w:type="dxa"/>
              <w:bottom w:w="15" w:type="dxa"/>
              <w:right w:w="15" w:type="dxa"/>
            </w:tcMar>
            <w:vAlign w:val="center"/>
            <w:hideMark/>
          </w:tcPr>
          <w:p w14:paraId="1960BD8B" w14:textId="77777777" w:rsidR="00CD0953" w:rsidRPr="00CD0953" w:rsidRDefault="00CD0953" w:rsidP="00CD0953">
            <w:pPr>
              <w:jc w:val="center"/>
              <w:rPr>
                <w:sz w:val="20"/>
                <w:szCs w:val="20"/>
                <w:lang w:val="es-MX"/>
              </w:rPr>
            </w:pPr>
            <w:r w:rsidRPr="00CD0953">
              <w:rPr>
                <w:sz w:val="20"/>
                <w:szCs w:val="20"/>
                <w:lang w:val="es-MX"/>
              </w:rPr>
              <w:t>VIVIENDAS TERMINADAS Y ENTREGADAS A LOS BENEFICIARIOS DE RESTITUCION</w:t>
            </w:r>
          </w:p>
        </w:tc>
        <w:tc>
          <w:tcPr>
            <w:tcW w:w="1612" w:type="dxa"/>
            <w:shd w:val="clear" w:color="auto" w:fill="FFFFFF"/>
            <w:tcMar>
              <w:top w:w="15" w:type="dxa"/>
              <w:left w:w="15" w:type="dxa"/>
              <w:bottom w:w="15" w:type="dxa"/>
              <w:right w:w="15" w:type="dxa"/>
            </w:tcMar>
            <w:vAlign w:val="center"/>
            <w:hideMark/>
          </w:tcPr>
          <w:p w14:paraId="2F544607" w14:textId="77777777" w:rsidR="00CD0953" w:rsidRPr="00CD0953" w:rsidRDefault="00CD0953" w:rsidP="00CD0953">
            <w:pPr>
              <w:jc w:val="center"/>
              <w:rPr>
                <w:sz w:val="20"/>
                <w:szCs w:val="20"/>
                <w:lang w:val="es-MX"/>
              </w:rPr>
            </w:pPr>
          </w:p>
        </w:tc>
        <w:tc>
          <w:tcPr>
            <w:tcW w:w="1284" w:type="dxa"/>
            <w:shd w:val="clear" w:color="auto" w:fill="FFFFFF"/>
            <w:tcMar>
              <w:top w:w="15" w:type="dxa"/>
              <w:left w:w="15" w:type="dxa"/>
              <w:bottom w:w="15" w:type="dxa"/>
              <w:right w:w="15" w:type="dxa"/>
            </w:tcMar>
            <w:vAlign w:val="center"/>
            <w:hideMark/>
          </w:tcPr>
          <w:p w14:paraId="4F0F4DCA" w14:textId="77777777" w:rsidR="00CD0953" w:rsidRPr="00CD0953" w:rsidRDefault="00CD0953" w:rsidP="00CD0953">
            <w:pPr>
              <w:jc w:val="center"/>
              <w:rPr>
                <w:sz w:val="20"/>
                <w:szCs w:val="20"/>
                <w:lang w:val="es-MX"/>
              </w:rPr>
            </w:pPr>
            <w:r w:rsidRPr="00CD0953">
              <w:rPr>
                <w:sz w:val="20"/>
                <w:szCs w:val="20"/>
                <w:lang w:val="es-MX"/>
              </w:rPr>
              <w:t>155</w:t>
            </w:r>
          </w:p>
        </w:tc>
        <w:tc>
          <w:tcPr>
            <w:tcW w:w="1318" w:type="dxa"/>
            <w:shd w:val="clear" w:color="auto" w:fill="FFFFFF"/>
            <w:tcMar>
              <w:top w:w="15" w:type="dxa"/>
              <w:left w:w="15" w:type="dxa"/>
              <w:bottom w:w="15" w:type="dxa"/>
              <w:right w:w="15" w:type="dxa"/>
            </w:tcMar>
            <w:vAlign w:val="center"/>
            <w:hideMark/>
          </w:tcPr>
          <w:p w14:paraId="192810A8" w14:textId="77777777" w:rsidR="00CD0953" w:rsidRPr="00CD0953" w:rsidRDefault="00CD0953" w:rsidP="00CD0953">
            <w:pPr>
              <w:jc w:val="center"/>
              <w:rPr>
                <w:sz w:val="20"/>
                <w:szCs w:val="20"/>
                <w:lang w:val="es-MX"/>
              </w:rPr>
            </w:pPr>
            <w:r w:rsidRPr="00CD0953">
              <w:rPr>
                <w:sz w:val="20"/>
                <w:szCs w:val="20"/>
                <w:lang w:val="es-MX"/>
              </w:rPr>
              <w:t>279</w:t>
            </w:r>
          </w:p>
        </w:tc>
        <w:tc>
          <w:tcPr>
            <w:tcW w:w="2448" w:type="dxa"/>
            <w:shd w:val="clear" w:color="auto" w:fill="FFFFFF"/>
            <w:tcMar>
              <w:top w:w="15" w:type="dxa"/>
              <w:left w:w="15" w:type="dxa"/>
              <w:bottom w:w="15" w:type="dxa"/>
              <w:right w:w="15" w:type="dxa"/>
            </w:tcMar>
            <w:vAlign w:val="center"/>
            <w:hideMark/>
          </w:tcPr>
          <w:p w14:paraId="3113C171" w14:textId="77777777" w:rsidR="00CD0953" w:rsidRPr="00CD0953" w:rsidRDefault="00CD0953" w:rsidP="00CD0953">
            <w:pPr>
              <w:jc w:val="center"/>
              <w:rPr>
                <w:sz w:val="20"/>
                <w:szCs w:val="20"/>
                <w:lang w:val="es-MX"/>
              </w:rPr>
            </w:pPr>
            <w:r w:rsidRPr="00CD0953">
              <w:rPr>
                <w:sz w:val="20"/>
                <w:szCs w:val="20"/>
                <w:lang w:val="es-MX"/>
              </w:rPr>
              <w:t>REPORTE DE AUTOGESTION</w:t>
            </w:r>
          </w:p>
        </w:tc>
      </w:tr>
      <w:tr w:rsidR="00CD0953" w:rsidRPr="00BF1316" w14:paraId="517ACED6" w14:textId="77777777" w:rsidTr="00BF1316">
        <w:trPr>
          <w:trHeight w:val="223"/>
        </w:trPr>
        <w:tc>
          <w:tcPr>
            <w:tcW w:w="3261" w:type="dxa"/>
            <w:shd w:val="clear" w:color="auto" w:fill="FFFFFF"/>
            <w:tcMar>
              <w:top w:w="15" w:type="dxa"/>
              <w:left w:w="15" w:type="dxa"/>
              <w:bottom w:w="15" w:type="dxa"/>
              <w:right w:w="15" w:type="dxa"/>
            </w:tcMar>
            <w:vAlign w:val="center"/>
            <w:hideMark/>
          </w:tcPr>
          <w:p w14:paraId="7CC1983B" w14:textId="4A51729E" w:rsidR="00CD0953" w:rsidRPr="00CD0953" w:rsidRDefault="00CD0953" w:rsidP="00CD0953">
            <w:pPr>
              <w:jc w:val="center"/>
              <w:rPr>
                <w:sz w:val="20"/>
                <w:szCs w:val="20"/>
                <w:lang w:val="es-MX"/>
              </w:rPr>
            </w:pPr>
            <w:r w:rsidRPr="00CD0953">
              <w:rPr>
                <w:sz w:val="20"/>
                <w:szCs w:val="20"/>
                <w:lang w:val="es-MX"/>
              </w:rPr>
              <w:t>VIVIENDAS SIN TERMINAR</w:t>
            </w:r>
          </w:p>
        </w:tc>
        <w:tc>
          <w:tcPr>
            <w:tcW w:w="1612" w:type="dxa"/>
            <w:shd w:val="clear" w:color="auto" w:fill="FFFFFF"/>
            <w:tcMar>
              <w:top w:w="15" w:type="dxa"/>
              <w:left w:w="15" w:type="dxa"/>
              <w:bottom w:w="15" w:type="dxa"/>
              <w:right w:w="15" w:type="dxa"/>
            </w:tcMar>
            <w:vAlign w:val="center"/>
            <w:hideMark/>
          </w:tcPr>
          <w:p w14:paraId="29FA0BF7" w14:textId="77777777" w:rsidR="00CD0953" w:rsidRPr="00CD0953" w:rsidRDefault="00CD0953" w:rsidP="00CD0953">
            <w:pPr>
              <w:jc w:val="center"/>
              <w:rPr>
                <w:sz w:val="20"/>
                <w:szCs w:val="20"/>
                <w:lang w:val="es-MX"/>
              </w:rPr>
            </w:pPr>
          </w:p>
        </w:tc>
        <w:tc>
          <w:tcPr>
            <w:tcW w:w="1284" w:type="dxa"/>
            <w:shd w:val="clear" w:color="auto" w:fill="FFFFFF"/>
            <w:tcMar>
              <w:top w:w="15" w:type="dxa"/>
              <w:left w:w="15" w:type="dxa"/>
              <w:bottom w:w="15" w:type="dxa"/>
              <w:right w:w="15" w:type="dxa"/>
            </w:tcMar>
            <w:vAlign w:val="center"/>
            <w:hideMark/>
          </w:tcPr>
          <w:p w14:paraId="78A9D85F" w14:textId="77777777" w:rsidR="00CD0953" w:rsidRPr="00CD0953" w:rsidRDefault="00CD0953" w:rsidP="00CD0953">
            <w:pPr>
              <w:jc w:val="center"/>
              <w:rPr>
                <w:sz w:val="20"/>
                <w:szCs w:val="20"/>
                <w:lang w:val="es-MX"/>
              </w:rPr>
            </w:pPr>
            <w:r w:rsidRPr="00CD0953">
              <w:rPr>
                <w:sz w:val="20"/>
                <w:szCs w:val="20"/>
                <w:lang w:val="es-MX"/>
              </w:rPr>
              <w:t>466</w:t>
            </w:r>
          </w:p>
        </w:tc>
        <w:tc>
          <w:tcPr>
            <w:tcW w:w="1318" w:type="dxa"/>
            <w:shd w:val="clear" w:color="auto" w:fill="FFFFFF"/>
            <w:tcMar>
              <w:top w:w="15" w:type="dxa"/>
              <w:left w:w="15" w:type="dxa"/>
              <w:bottom w:w="15" w:type="dxa"/>
              <w:right w:w="15" w:type="dxa"/>
            </w:tcMar>
            <w:vAlign w:val="center"/>
            <w:hideMark/>
          </w:tcPr>
          <w:p w14:paraId="26DEA5F4" w14:textId="77777777" w:rsidR="00CD0953" w:rsidRPr="00CD0953" w:rsidRDefault="00CD0953" w:rsidP="00CD0953">
            <w:pPr>
              <w:jc w:val="center"/>
              <w:rPr>
                <w:sz w:val="20"/>
                <w:szCs w:val="20"/>
                <w:lang w:val="es-MX"/>
              </w:rPr>
            </w:pPr>
            <w:r w:rsidRPr="00CD0953">
              <w:rPr>
                <w:sz w:val="20"/>
                <w:szCs w:val="20"/>
                <w:lang w:val="es-MX"/>
              </w:rPr>
              <w:t>342</w:t>
            </w:r>
          </w:p>
        </w:tc>
        <w:tc>
          <w:tcPr>
            <w:tcW w:w="2448" w:type="dxa"/>
            <w:shd w:val="clear" w:color="auto" w:fill="FFFFFF"/>
            <w:tcMar>
              <w:top w:w="15" w:type="dxa"/>
              <w:left w:w="15" w:type="dxa"/>
              <w:bottom w:w="15" w:type="dxa"/>
              <w:right w:w="15" w:type="dxa"/>
            </w:tcMar>
            <w:vAlign w:val="center"/>
            <w:hideMark/>
          </w:tcPr>
          <w:p w14:paraId="46915BC7" w14:textId="77777777" w:rsidR="00CD0953" w:rsidRPr="00CD0953" w:rsidRDefault="00CD0953" w:rsidP="00CD0953">
            <w:pPr>
              <w:jc w:val="center"/>
              <w:rPr>
                <w:sz w:val="20"/>
                <w:szCs w:val="20"/>
                <w:lang w:val="es-MX"/>
              </w:rPr>
            </w:pPr>
            <w:r w:rsidRPr="00CD0953">
              <w:rPr>
                <w:sz w:val="20"/>
                <w:szCs w:val="20"/>
                <w:lang w:val="es-MX"/>
              </w:rPr>
              <w:t>REPORTE DE AUTOGESTION</w:t>
            </w:r>
          </w:p>
        </w:tc>
      </w:tr>
      <w:tr w:rsidR="00CD0953" w:rsidRPr="00BF1316" w14:paraId="0A1CC13B" w14:textId="77777777" w:rsidTr="00BF1316">
        <w:trPr>
          <w:trHeight w:val="223"/>
        </w:trPr>
        <w:tc>
          <w:tcPr>
            <w:tcW w:w="3261" w:type="dxa"/>
            <w:shd w:val="clear" w:color="auto" w:fill="FFFFFF"/>
            <w:tcMar>
              <w:top w:w="15" w:type="dxa"/>
              <w:left w:w="15" w:type="dxa"/>
              <w:bottom w:w="15" w:type="dxa"/>
              <w:right w:w="15" w:type="dxa"/>
            </w:tcMar>
            <w:vAlign w:val="center"/>
            <w:hideMark/>
          </w:tcPr>
          <w:p w14:paraId="6F5DD702" w14:textId="31A6E8FF" w:rsidR="00CD0953" w:rsidRPr="00CD0953" w:rsidRDefault="00CD0953" w:rsidP="00CD0953">
            <w:pPr>
              <w:jc w:val="center"/>
              <w:rPr>
                <w:sz w:val="20"/>
                <w:szCs w:val="20"/>
                <w:lang w:val="es-MX"/>
              </w:rPr>
            </w:pPr>
            <w:r w:rsidRPr="00CD0953">
              <w:rPr>
                <w:sz w:val="20"/>
                <w:szCs w:val="20"/>
                <w:lang w:val="es-MX"/>
              </w:rPr>
              <w:t>NO ADJUDICADOS</w:t>
            </w:r>
          </w:p>
        </w:tc>
        <w:tc>
          <w:tcPr>
            <w:tcW w:w="1612" w:type="dxa"/>
            <w:shd w:val="clear" w:color="auto" w:fill="FFFFFF"/>
            <w:tcMar>
              <w:top w:w="15" w:type="dxa"/>
              <w:left w:w="15" w:type="dxa"/>
              <w:bottom w:w="15" w:type="dxa"/>
              <w:right w:w="15" w:type="dxa"/>
            </w:tcMar>
            <w:vAlign w:val="center"/>
            <w:hideMark/>
          </w:tcPr>
          <w:p w14:paraId="7E0E5DCF" w14:textId="77777777" w:rsidR="00CD0953" w:rsidRPr="00CD0953" w:rsidRDefault="00CD0953" w:rsidP="00CD0953">
            <w:pPr>
              <w:jc w:val="center"/>
              <w:rPr>
                <w:sz w:val="20"/>
                <w:szCs w:val="20"/>
                <w:lang w:val="es-MX"/>
              </w:rPr>
            </w:pPr>
          </w:p>
        </w:tc>
        <w:tc>
          <w:tcPr>
            <w:tcW w:w="1284" w:type="dxa"/>
            <w:shd w:val="clear" w:color="auto" w:fill="FFFFFF"/>
            <w:tcMar>
              <w:top w:w="15" w:type="dxa"/>
              <w:left w:w="15" w:type="dxa"/>
              <w:bottom w:w="15" w:type="dxa"/>
              <w:right w:w="15" w:type="dxa"/>
            </w:tcMar>
            <w:vAlign w:val="center"/>
            <w:hideMark/>
          </w:tcPr>
          <w:p w14:paraId="0831D898" w14:textId="77777777" w:rsidR="00CD0953" w:rsidRPr="00CD0953" w:rsidRDefault="00CD0953" w:rsidP="00CD0953">
            <w:pPr>
              <w:jc w:val="center"/>
              <w:rPr>
                <w:sz w:val="20"/>
                <w:szCs w:val="20"/>
                <w:lang w:val="es-MX"/>
              </w:rPr>
            </w:pPr>
          </w:p>
        </w:tc>
        <w:tc>
          <w:tcPr>
            <w:tcW w:w="1318" w:type="dxa"/>
            <w:shd w:val="clear" w:color="auto" w:fill="FFFFFF"/>
            <w:tcMar>
              <w:top w:w="15" w:type="dxa"/>
              <w:left w:w="15" w:type="dxa"/>
              <w:bottom w:w="15" w:type="dxa"/>
              <w:right w:w="15" w:type="dxa"/>
            </w:tcMar>
            <w:vAlign w:val="center"/>
            <w:hideMark/>
          </w:tcPr>
          <w:p w14:paraId="7B4F0593" w14:textId="77777777" w:rsidR="00CD0953" w:rsidRPr="00CD0953" w:rsidRDefault="00CD0953" w:rsidP="00CD0953">
            <w:pPr>
              <w:jc w:val="center"/>
              <w:rPr>
                <w:sz w:val="20"/>
                <w:szCs w:val="20"/>
                <w:lang w:val="es-MX"/>
              </w:rPr>
            </w:pPr>
          </w:p>
        </w:tc>
        <w:tc>
          <w:tcPr>
            <w:tcW w:w="2448" w:type="dxa"/>
            <w:shd w:val="clear" w:color="auto" w:fill="FFFFFF"/>
            <w:tcMar>
              <w:top w:w="15" w:type="dxa"/>
              <w:left w:w="15" w:type="dxa"/>
              <w:bottom w:w="15" w:type="dxa"/>
              <w:right w:w="15" w:type="dxa"/>
            </w:tcMar>
            <w:vAlign w:val="center"/>
            <w:hideMark/>
          </w:tcPr>
          <w:p w14:paraId="2195C7BF" w14:textId="77777777" w:rsidR="00CD0953" w:rsidRPr="00CD0953" w:rsidRDefault="00CD0953" w:rsidP="00CD0953">
            <w:pPr>
              <w:jc w:val="center"/>
              <w:rPr>
                <w:sz w:val="20"/>
                <w:szCs w:val="20"/>
                <w:lang w:val="es-MX"/>
              </w:rPr>
            </w:pPr>
            <w:r w:rsidRPr="00CD0953">
              <w:rPr>
                <w:sz w:val="20"/>
                <w:szCs w:val="20"/>
                <w:lang w:val="es-MX"/>
              </w:rPr>
              <w:t>REPORTE DE AUTOGESTION</w:t>
            </w:r>
          </w:p>
        </w:tc>
      </w:tr>
      <w:tr w:rsidR="00CD0953" w:rsidRPr="00BF1316" w14:paraId="76F82BAD" w14:textId="77777777" w:rsidTr="00BF1316">
        <w:trPr>
          <w:trHeight w:val="223"/>
        </w:trPr>
        <w:tc>
          <w:tcPr>
            <w:tcW w:w="3261" w:type="dxa"/>
            <w:shd w:val="clear" w:color="auto" w:fill="FFFFFF"/>
            <w:tcMar>
              <w:top w:w="15" w:type="dxa"/>
              <w:left w:w="15" w:type="dxa"/>
              <w:bottom w:w="15" w:type="dxa"/>
              <w:right w:w="15" w:type="dxa"/>
            </w:tcMar>
            <w:vAlign w:val="center"/>
            <w:hideMark/>
          </w:tcPr>
          <w:p w14:paraId="0C2DBBEB" w14:textId="77777777" w:rsidR="00CD0953" w:rsidRPr="00CD0953" w:rsidRDefault="00CD0953" w:rsidP="00CD0953">
            <w:pPr>
              <w:jc w:val="center"/>
              <w:rPr>
                <w:sz w:val="20"/>
                <w:szCs w:val="20"/>
                <w:lang w:val="es-MX"/>
              </w:rPr>
            </w:pPr>
            <w:r w:rsidRPr="00CD0953">
              <w:rPr>
                <w:sz w:val="20"/>
                <w:szCs w:val="20"/>
                <w:lang w:val="es-MX"/>
              </w:rPr>
              <w:t>SUBSIDIOS RETIRADOS</w:t>
            </w:r>
          </w:p>
        </w:tc>
        <w:tc>
          <w:tcPr>
            <w:tcW w:w="1612" w:type="dxa"/>
            <w:shd w:val="clear" w:color="auto" w:fill="FFFFFF"/>
            <w:tcMar>
              <w:top w:w="15" w:type="dxa"/>
              <w:left w:w="15" w:type="dxa"/>
              <w:bottom w:w="15" w:type="dxa"/>
              <w:right w:w="15" w:type="dxa"/>
            </w:tcMar>
            <w:vAlign w:val="center"/>
            <w:hideMark/>
          </w:tcPr>
          <w:p w14:paraId="518EE4C9" w14:textId="77777777" w:rsidR="00CD0953" w:rsidRPr="00CD0953" w:rsidRDefault="00CD0953" w:rsidP="00CD0953">
            <w:pPr>
              <w:jc w:val="center"/>
              <w:rPr>
                <w:sz w:val="20"/>
                <w:szCs w:val="20"/>
                <w:lang w:val="es-MX"/>
              </w:rPr>
            </w:pPr>
          </w:p>
        </w:tc>
        <w:tc>
          <w:tcPr>
            <w:tcW w:w="1284" w:type="dxa"/>
            <w:shd w:val="clear" w:color="auto" w:fill="FFFFFF"/>
            <w:tcMar>
              <w:top w:w="15" w:type="dxa"/>
              <w:left w:w="15" w:type="dxa"/>
              <w:bottom w:w="15" w:type="dxa"/>
              <w:right w:w="15" w:type="dxa"/>
            </w:tcMar>
            <w:vAlign w:val="center"/>
            <w:hideMark/>
          </w:tcPr>
          <w:p w14:paraId="71EBD89F" w14:textId="77777777" w:rsidR="00CD0953" w:rsidRPr="00CD0953" w:rsidRDefault="00CD0953" w:rsidP="00CD0953">
            <w:pPr>
              <w:jc w:val="center"/>
              <w:rPr>
                <w:sz w:val="20"/>
                <w:szCs w:val="20"/>
                <w:lang w:val="es-MX"/>
              </w:rPr>
            </w:pPr>
            <w:r w:rsidRPr="00CD0953">
              <w:rPr>
                <w:sz w:val="20"/>
                <w:szCs w:val="20"/>
                <w:lang w:val="es-MX"/>
              </w:rPr>
              <w:t>41</w:t>
            </w:r>
          </w:p>
        </w:tc>
        <w:tc>
          <w:tcPr>
            <w:tcW w:w="1318" w:type="dxa"/>
            <w:shd w:val="clear" w:color="auto" w:fill="FFFFFF"/>
            <w:tcMar>
              <w:top w:w="15" w:type="dxa"/>
              <w:left w:w="15" w:type="dxa"/>
              <w:bottom w:w="15" w:type="dxa"/>
              <w:right w:w="15" w:type="dxa"/>
            </w:tcMar>
            <w:vAlign w:val="center"/>
            <w:hideMark/>
          </w:tcPr>
          <w:p w14:paraId="7FE23149" w14:textId="77777777" w:rsidR="00CD0953" w:rsidRPr="00CD0953" w:rsidRDefault="00CD0953" w:rsidP="00CD0953">
            <w:pPr>
              <w:jc w:val="center"/>
              <w:rPr>
                <w:sz w:val="20"/>
                <w:szCs w:val="20"/>
                <w:lang w:val="es-MX"/>
              </w:rPr>
            </w:pPr>
            <w:r w:rsidRPr="00CD0953">
              <w:rPr>
                <w:sz w:val="20"/>
                <w:szCs w:val="20"/>
                <w:lang w:val="es-MX"/>
              </w:rPr>
              <w:t>41</w:t>
            </w:r>
          </w:p>
        </w:tc>
        <w:tc>
          <w:tcPr>
            <w:tcW w:w="2448" w:type="dxa"/>
            <w:shd w:val="clear" w:color="auto" w:fill="FFFFFF"/>
            <w:tcMar>
              <w:top w:w="15" w:type="dxa"/>
              <w:left w:w="15" w:type="dxa"/>
              <w:bottom w:w="15" w:type="dxa"/>
              <w:right w:w="15" w:type="dxa"/>
            </w:tcMar>
            <w:vAlign w:val="center"/>
            <w:hideMark/>
          </w:tcPr>
          <w:p w14:paraId="2389C285" w14:textId="77777777" w:rsidR="00CD0953" w:rsidRPr="00CD0953" w:rsidRDefault="00CD0953" w:rsidP="00CD0953">
            <w:pPr>
              <w:jc w:val="center"/>
              <w:rPr>
                <w:sz w:val="20"/>
                <w:szCs w:val="20"/>
                <w:lang w:val="es-MX"/>
              </w:rPr>
            </w:pPr>
            <w:r w:rsidRPr="00CD0953">
              <w:rPr>
                <w:sz w:val="20"/>
                <w:szCs w:val="20"/>
                <w:lang w:val="es-MX"/>
              </w:rPr>
              <w:t>REPORTE DE AUTOGESTION</w:t>
            </w:r>
          </w:p>
        </w:tc>
      </w:tr>
    </w:tbl>
    <w:p w14:paraId="4D529550" w14:textId="77777777" w:rsidR="00CD0953" w:rsidRPr="00CD0953" w:rsidRDefault="00CD0953" w:rsidP="00D30330">
      <w:pPr>
        <w:ind w:left="-567"/>
        <w:jc w:val="both"/>
        <w:rPr>
          <w:rFonts w:ascii="Arial" w:eastAsiaTheme="minorEastAsia" w:hAnsi="Arial" w:cs="Arial"/>
          <w:color w:val="000000" w:themeColor="text1"/>
          <w:sz w:val="22"/>
          <w:szCs w:val="22"/>
        </w:rPr>
      </w:pPr>
      <w:r w:rsidRPr="00CD0953">
        <w:rPr>
          <w:rFonts w:ascii="Arial" w:eastAsiaTheme="minorEastAsia" w:hAnsi="Arial" w:cs="Arial"/>
          <w:color w:val="000000" w:themeColor="text1"/>
          <w:sz w:val="22"/>
          <w:szCs w:val="22"/>
        </w:rPr>
        <w:t> </w:t>
      </w:r>
    </w:p>
    <w:p w14:paraId="7436FCFE" w14:textId="0D294000" w:rsidR="00CD0953" w:rsidRDefault="00CD0953" w:rsidP="00D30330">
      <w:pPr>
        <w:ind w:left="-567"/>
        <w:jc w:val="both"/>
        <w:rPr>
          <w:rFonts w:ascii="Arial" w:eastAsiaTheme="minorEastAsia" w:hAnsi="Arial" w:cs="Arial"/>
          <w:color w:val="000000" w:themeColor="text1"/>
          <w:sz w:val="22"/>
          <w:szCs w:val="22"/>
        </w:rPr>
      </w:pPr>
      <w:r w:rsidRPr="00CD0953">
        <w:rPr>
          <w:rFonts w:ascii="Arial" w:eastAsiaTheme="minorEastAsia" w:hAnsi="Arial" w:cs="Arial"/>
          <w:color w:val="000000" w:themeColor="text1"/>
          <w:sz w:val="22"/>
          <w:szCs w:val="22"/>
        </w:rPr>
        <w:t xml:space="preserve">Se aclara que dentro del programa han </w:t>
      </w:r>
      <w:proofErr w:type="gramStart"/>
      <w:r w:rsidRPr="00CD0953">
        <w:rPr>
          <w:rFonts w:ascii="Arial" w:eastAsiaTheme="minorEastAsia" w:hAnsi="Arial" w:cs="Arial"/>
          <w:color w:val="000000" w:themeColor="text1"/>
          <w:sz w:val="22"/>
          <w:szCs w:val="22"/>
        </w:rPr>
        <w:t>existido  </w:t>
      </w:r>
      <w:r w:rsidR="00BC0F32">
        <w:rPr>
          <w:rFonts w:ascii="Arial" w:eastAsiaTheme="minorEastAsia" w:hAnsi="Arial" w:cs="Arial"/>
          <w:color w:val="000000" w:themeColor="text1"/>
          <w:sz w:val="22"/>
          <w:szCs w:val="22"/>
        </w:rPr>
        <w:t>algunas</w:t>
      </w:r>
      <w:proofErr w:type="gramEnd"/>
      <w:r w:rsidR="00BC0F32">
        <w:rPr>
          <w:rFonts w:ascii="Arial" w:eastAsiaTheme="minorEastAsia" w:hAnsi="Arial" w:cs="Arial"/>
          <w:color w:val="000000" w:themeColor="text1"/>
          <w:sz w:val="22"/>
          <w:szCs w:val="22"/>
        </w:rPr>
        <w:t xml:space="preserve"> circunstancias </w:t>
      </w:r>
      <w:r w:rsidRPr="00CD0953">
        <w:rPr>
          <w:rFonts w:ascii="Arial" w:eastAsiaTheme="minorEastAsia" w:hAnsi="Arial" w:cs="Arial"/>
          <w:color w:val="000000" w:themeColor="text1"/>
          <w:sz w:val="22"/>
          <w:szCs w:val="22"/>
        </w:rPr>
        <w:t>que han impedido el proceso de gestión de desembolsos lo cual imposibilito tener un mayor avances de obra en las 135 viviendas que actualmente se encuentran en avance del 50% de ejecución, así como la entrega de las 279 viviendas con obra finalizada al 100% de ejecución ya que solo 158 cuenta actualmente con ultimo desembolso.</w:t>
      </w:r>
    </w:p>
    <w:p w14:paraId="5B5E9C14" w14:textId="77777777" w:rsidR="00BC0F32" w:rsidRDefault="00BC0F32" w:rsidP="00D30330">
      <w:pPr>
        <w:ind w:left="-567"/>
        <w:jc w:val="both"/>
        <w:rPr>
          <w:rFonts w:ascii="Arial" w:eastAsiaTheme="minorEastAsia" w:hAnsi="Arial" w:cs="Arial"/>
          <w:color w:val="000000" w:themeColor="text1"/>
          <w:sz w:val="22"/>
          <w:szCs w:val="22"/>
        </w:rPr>
      </w:pPr>
    </w:p>
    <w:p w14:paraId="3DC5D93E" w14:textId="72ADA572" w:rsidR="00BC0F32" w:rsidRDefault="00BC0F32" w:rsidP="00BC0F32">
      <w:pPr>
        <w:ind w:left="-567"/>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 xml:space="preserve">Durante el </w:t>
      </w:r>
      <w:r w:rsidR="00213B0C">
        <w:rPr>
          <w:rFonts w:ascii="Arial" w:eastAsiaTheme="minorEastAsia" w:hAnsi="Arial" w:cs="Arial"/>
          <w:color w:val="000000" w:themeColor="text1"/>
          <w:sz w:val="22"/>
          <w:szCs w:val="22"/>
        </w:rPr>
        <w:t>periodo reportado</w:t>
      </w:r>
      <w:r>
        <w:rPr>
          <w:rFonts w:ascii="Arial" w:eastAsiaTheme="minorEastAsia" w:hAnsi="Arial" w:cs="Arial"/>
          <w:color w:val="000000" w:themeColor="text1"/>
          <w:sz w:val="22"/>
          <w:szCs w:val="22"/>
        </w:rPr>
        <w:t xml:space="preserve">, la Dirección de Gestión de Bienes recibió el informe de la Contraloría General de la Nación, la cual </w:t>
      </w:r>
      <w:r w:rsidR="00AB6F48">
        <w:rPr>
          <w:rFonts w:ascii="Arial" w:eastAsiaTheme="minorEastAsia" w:hAnsi="Arial" w:cs="Arial"/>
          <w:color w:val="000000" w:themeColor="text1"/>
          <w:sz w:val="22"/>
          <w:szCs w:val="22"/>
        </w:rPr>
        <w:t>con relación al</w:t>
      </w:r>
      <w:r>
        <w:rPr>
          <w:rFonts w:ascii="Arial" w:eastAsiaTheme="minorEastAsia" w:hAnsi="Arial" w:cs="Arial"/>
          <w:color w:val="000000" w:themeColor="text1"/>
          <w:sz w:val="22"/>
          <w:szCs w:val="22"/>
        </w:rPr>
        <w:t xml:space="preserve"> proceso de autogestión formuló </w:t>
      </w:r>
      <w:r w:rsidR="00984E2B">
        <w:rPr>
          <w:rFonts w:ascii="Arial" w:eastAsiaTheme="minorEastAsia" w:hAnsi="Arial" w:cs="Arial"/>
          <w:color w:val="000000" w:themeColor="text1"/>
          <w:sz w:val="22"/>
          <w:szCs w:val="22"/>
        </w:rPr>
        <w:t>7</w:t>
      </w:r>
      <w:r>
        <w:rPr>
          <w:rFonts w:ascii="Arial" w:eastAsiaTheme="minorEastAsia" w:hAnsi="Arial" w:cs="Arial"/>
          <w:color w:val="000000" w:themeColor="text1"/>
          <w:sz w:val="22"/>
          <w:szCs w:val="22"/>
        </w:rPr>
        <w:t xml:space="preserve"> hallazgos identificados como se relacionan a continuación: </w:t>
      </w:r>
    </w:p>
    <w:p w14:paraId="4060FADF" w14:textId="77777777" w:rsidR="00213B0C" w:rsidRDefault="00213B0C" w:rsidP="00BC0F32">
      <w:pPr>
        <w:ind w:left="-567"/>
        <w:jc w:val="both"/>
        <w:rPr>
          <w:rFonts w:ascii="Arial" w:eastAsiaTheme="minorEastAsia" w:hAnsi="Arial" w:cs="Arial"/>
          <w:color w:val="000000" w:themeColor="text1"/>
          <w:sz w:val="22"/>
          <w:szCs w:val="22"/>
        </w:rPr>
      </w:pPr>
    </w:p>
    <w:p w14:paraId="6A13EED6" w14:textId="3D7F1CED" w:rsidR="00213B0C" w:rsidRDefault="00213B0C" w:rsidP="00213B0C">
      <w:pPr>
        <w:ind w:left="-567"/>
        <w:jc w:val="both"/>
        <w:rPr>
          <w:rFonts w:ascii="Arial" w:eastAsiaTheme="minorEastAsia" w:hAnsi="Arial" w:cs="Arial"/>
          <w:b/>
          <w:bCs/>
          <w:color w:val="000000" w:themeColor="text1"/>
          <w:sz w:val="22"/>
          <w:szCs w:val="22"/>
        </w:rPr>
      </w:pPr>
      <w:r w:rsidRPr="4CBE6209">
        <w:rPr>
          <w:rFonts w:ascii="Arial" w:eastAsiaTheme="minorEastAsia" w:hAnsi="Arial" w:cs="Arial"/>
          <w:b/>
          <w:bCs/>
          <w:color w:val="FF0000"/>
          <w:sz w:val="22"/>
          <w:szCs w:val="22"/>
        </w:rPr>
        <w:t xml:space="preserve">DIANA BOBADILLA </w:t>
      </w:r>
      <w:r>
        <w:rPr>
          <w:rFonts w:ascii="Arial" w:eastAsiaTheme="minorEastAsia" w:hAnsi="Arial" w:cs="Arial"/>
          <w:b/>
          <w:bCs/>
          <w:color w:val="FF0000"/>
          <w:sz w:val="22"/>
          <w:szCs w:val="22"/>
        </w:rPr>
        <w:t>(centrar la información a 2026)</w:t>
      </w:r>
    </w:p>
    <w:p w14:paraId="055A08E5" w14:textId="77777777" w:rsidR="00213B0C" w:rsidRDefault="00213B0C" w:rsidP="00213B0C">
      <w:pPr>
        <w:jc w:val="both"/>
        <w:rPr>
          <w:rFonts w:ascii="Arial" w:eastAsiaTheme="minorEastAsia" w:hAnsi="Arial" w:cs="Arial"/>
          <w:color w:val="000000" w:themeColor="text1"/>
          <w:sz w:val="22"/>
          <w:szCs w:val="22"/>
        </w:rPr>
      </w:pPr>
    </w:p>
    <w:p w14:paraId="0BE2B567" w14:textId="77777777" w:rsidR="00BC0F32" w:rsidRDefault="00BC0F32" w:rsidP="00BC0F32">
      <w:pPr>
        <w:ind w:left="-567"/>
        <w:jc w:val="both"/>
        <w:rPr>
          <w:rFonts w:ascii="Arial" w:eastAsiaTheme="minorEastAsia" w:hAnsi="Arial" w:cs="Arial"/>
          <w:color w:val="000000" w:themeColor="text1"/>
          <w:sz w:val="22"/>
          <w:szCs w:val="22"/>
        </w:rPr>
      </w:pPr>
    </w:p>
    <w:tbl>
      <w:tblPr>
        <w:tblW w:w="9781"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118"/>
        <w:gridCol w:w="4663"/>
      </w:tblGrid>
      <w:tr w:rsidR="00984E2B" w14:paraId="4AAD0085" w14:textId="77777777" w:rsidTr="00984E2B">
        <w:trPr>
          <w:trHeight w:val="866"/>
        </w:trPr>
        <w:tc>
          <w:tcPr>
            <w:tcW w:w="9781" w:type="dxa"/>
            <w:gridSpan w:val="2"/>
            <w:vAlign w:val="bottom"/>
            <w:hideMark/>
          </w:tcPr>
          <w:p w14:paraId="4C82A2D1" w14:textId="77777777" w:rsidR="00984E2B" w:rsidRDefault="00984E2B">
            <w:pPr>
              <w:jc w:val="center"/>
              <w:rPr>
                <w:rFonts w:ascii="Arial" w:hAnsi="Arial" w:cs="Arial"/>
                <w:b/>
                <w:bCs/>
                <w:color w:val="000000"/>
                <w:sz w:val="22"/>
                <w:szCs w:val="22"/>
                <w:lang w:eastAsia="es-MX"/>
              </w:rPr>
            </w:pPr>
            <w:r>
              <w:rPr>
                <w:rFonts w:ascii="Arial" w:hAnsi="Arial" w:cs="Arial"/>
                <w:b/>
                <w:bCs/>
                <w:color w:val="000000"/>
                <w:sz w:val="22"/>
                <w:szCs w:val="22"/>
              </w:rPr>
              <w:lastRenderedPageBreak/>
              <w:t>RELACIÓN DE OBSERVACIONES / HALLAZGOS</w:t>
            </w:r>
            <w:r>
              <w:rPr>
                <w:rFonts w:ascii="Arial" w:hAnsi="Arial" w:cs="Arial"/>
                <w:b/>
                <w:bCs/>
                <w:color w:val="000000"/>
                <w:sz w:val="22"/>
                <w:szCs w:val="22"/>
              </w:rPr>
              <w:br/>
              <w:t xml:space="preserve"> DE </w:t>
            </w:r>
            <w:proofErr w:type="gramStart"/>
            <w:r>
              <w:rPr>
                <w:rFonts w:ascii="Arial" w:hAnsi="Arial" w:cs="Arial"/>
                <w:b/>
                <w:bCs/>
                <w:color w:val="000000"/>
                <w:sz w:val="22"/>
                <w:szCs w:val="22"/>
              </w:rPr>
              <w:t>AUDITORIA  CUMPLIMIENTO</w:t>
            </w:r>
            <w:proofErr w:type="gramEnd"/>
            <w:r>
              <w:rPr>
                <w:rFonts w:ascii="Arial" w:hAnsi="Arial" w:cs="Arial"/>
                <w:b/>
                <w:bCs/>
                <w:color w:val="000000"/>
                <w:sz w:val="22"/>
                <w:szCs w:val="22"/>
              </w:rPr>
              <w:t xml:space="preserve">  BANAGRARIO Y MADR PROYECTO VIVIENDA - VISR</w:t>
            </w:r>
            <w:r>
              <w:rPr>
                <w:rFonts w:ascii="Arial" w:hAnsi="Arial" w:cs="Arial"/>
                <w:b/>
                <w:bCs/>
                <w:color w:val="000000"/>
                <w:sz w:val="22"/>
                <w:szCs w:val="22"/>
              </w:rPr>
              <w:br/>
              <w:t>VIGENCIA 2025</w:t>
            </w:r>
          </w:p>
        </w:tc>
      </w:tr>
      <w:tr w:rsidR="00984E2B" w14:paraId="01BD8A3D" w14:textId="77777777" w:rsidTr="00984E2B">
        <w:trPr>
          <w:trHeight w:val="330"/>
        </w:trPr>
        <w:tc>
          <w:tcPr>
            <w:tcW w:w="5118" w:type="dxa"/>
            <w:vAlign w:val="center"/>
            <w:hideMark/>
          </w:tcPr>
          <w:p w14:paraId="69F9CAED" w14:textId="77777777" w:rsidR="00984E2B" w:rsidRDefault="00984E2B">
            <w:pPr>
              <w:jc w:val="center"/>
              <w:rPr>
                <w:rFonts w:ascii="Arial" w:hAnsi="Arial" w:cs="Arial"/>
                <w:b/>
                <w:bCs/>
                <w:color w:val="000000"/>
                <w:sz w:val="22"/>
                <w:szCs w:val="22"/>
              </w:rPr>
            </w:pPr>
            <w:r>
              <w:rPr>
                <w:rFonts w:ascii="Arial" w:hAnsi="Arial" w:cs="Arial"/>
                <w:b/>
                <w:bCs/>
                <w:color w:val="000000"/>
                <w:sz w:val="22"/>
                <w:szCs w:val="22"/>
              </w:rPr>
              <w:t>OBSERVACIONES</w:t>
            </w:r>
          </w:p>
        </w:tc>
        <w:tc>
          <w:tcPr>
            <w:tcW w:w="4663" w:type="dxa"/>
            <w:vAlign w:val="center"/>
            <w:hideMark/>
          </w:tcPr>
          <w:p w14:paraId="2EEAD36B" w14:textId="77777777" w:rsidR="00984E2B" w:rsidRDefault="00984E2B">
            <w:pPr>
              <w:jc w:val="center"/>
              <w:rPr>
                <w:rFonts w:ascii="Arial" w:hAnsi="Arial" w:cs="Arial"/>
                <w:b/>
                <w:bCs/>
                <w:color w:val="000000"/>
                <w:sz w:val="22"/>
                <w:szCs w:val="22"/>
              </w:rPr>
            </w:pPr>
            <w:r>
              <w:rPr>
                <w:rFonts w:ascii="Arial" w:hAnsi="Arial" w:cs="Arial"/>
                <w:b/>
                <w:bCs/>
                <w:color w:val="000000"/>
                <w:sz w:val="22"/>
                <w:szCs w:val="22"/>
              </w:rPr>
              <w:t>HALLAZGOS</w:t>
            </w:r>
          </w:p>
        </w:tc>
      </w:tr>
      <w:tr w:rsidR="00984E2B" w14:paraId="128F6495" w14:textId="77777777" w:rsidTr="00984E2B">
        <w:trPr>
          <w:trHeight w:val="1330"/>
        </w:trPr>
        <w:tc>
          <w:tcPr>
            <w:tcW w:w="5118" w:type="dxa"/>
            <w:hideMark/>
          </w:tcPr>
          <w:p w14:paraId="5F6CFBE2" w14:textId="77777777" w:rsidR="00984E2B" w:rsidRDefault="00984E2B">
            <w:pPr>
              <w:jc w:val="both"/>
              <w:rPr>
                <w:rFonts w:ascii="Arial" w:hAnsi="Arial" w:cs="Arial"/>
                <w:sz w:val="22"/>
                <w:szCs w:val="22"/>
              </w:rPr>
            </w:pPr>
            <w:r>
              <w:rPr>
                <w:rFonts w:ascii="Arial" w:hAnsi="Arial" w:cs="Arial"/>
                <w:sz w:val="22"/>
                <w:szCs w:val="22"/>
                <w:u w:val="single"/>
              </w:rPr>
              <w:t>Observación No.3</w:t>
            </w:r>
            <w:r>
              <w:rPr>
                <w:rFonts w:ascii="Arial" w:hAnsi="Arial" w:cs="Arial"/>
                <w:sz w:val="22"/>
                <w:szCs w:val="22"/>
              </w:rPr>
              <w:t>- Ministerio de Agricultura y Desarrollo Rural. Pago para adelantar la protocolización de los Subsidios Familiares de Vivienda de Interés Social Rural- SFVISR.</w:t>
            </w:r>
            <w:r>
              <w:rPr>
                <w:rFonts w:ascii="Arial" w:hAnsi="Arial" w:cs="Arial"/>
                <w:sz w:val="22"/>
                <w:szCs w:val="22"/>
              </w:rPr>
              <w:br/>
              <w:t>Administrativa (A) con presunta connotación fiscal (F) y disciplinaria (D)</w:t>
            </w:r>
          </w:p>
        </w:tc>
        <w:tc>
          <w:tcPr>
            <w:tcW w:w="4663" w:type="dxa"/>
            <w:hideMark/>
          </w:tcPr>
          <w:p w14:paraId="7307F002" w14:textId="77777777" w:rsidR="00984E2B" w:rsidRDefault="00984E2B">
            <w:pPr>
              <w:jc w:val="both"/>
              <w:rPr>
                <w:rFonts w:ascii="Arial" w:hAnsi="Arial" w:cs="Arial"/>
                <w:sz w:val="22"/>
                <w:szCs w:val="22"/>
              </w:rPr>
            </w:pPr>
            <w:r>
              <w:rPr>
                <w:rFonts w:ascii="Arial" w:hAnsi="Arial" w:cs="Arial"/>
                <w:sz w:val="22"/>
                <w:szCs w:val="22"/>
                <w:u w:val="single"/>
              </w:rPr>
              <w:t xml:space="preserve">Hallazgo No. 8 </w:t>
            </w:r>
            <w:r>
              <w:rPr>
                <w:rFonts w:ascii="Arial" w:hAnsi="Arial" w:cs="Arial"/>
                <w:sz w:val="22"/>
                <w:szCs w:val="22"/>
              </w:rPr>
              <w:t>MADR Pago para adelantar la protocolización de los Subsidios Familiares de Vivienda de Interés Social Rural- SFVISR.</w:t>
            </w:r>
            <w:r>
              <w:rPr>
                <w:rFonts w:ascii="Arial" w:hAnsi="Arial" w:cs="Arial"/>
                <w:sz w:val="22"/>
                <w:szCs w:val="22"/>
              </w:rPr>
              <w:br/>
              <w:t>Administrativo (A) con connotación fiscal (F8) y posible alcance disciplinaria (D7).1</w:t>
            </w:r>
          </w:p>
        </w:tc>
      </w:tr>
      <w:tr w:rsidR="00984E2B" w14:paraId="19699E22" w14:textId="77777777" w:rsidTr="00984E2B">
        <w:trPr>
          <w:trHeight w:val="1330"/>
        </w:trPr>
        <w:tc>
          <w:tcPr>
            <w:tcW w:w="5118" w:type="dxa"/>
            <w:hideMark/>
          </w:tcPr>
          <w:p w14:paraId="22125251" w14:textId="77777777" w:rsidR="00984E2B" w:rsidRDefault="00984E2B">
            <w:pPr>
              <w:jc w:val="both"/>
              <w:rPr>
                <w:rFonts w:ascii="Arial" w:hAnsi="Arial" w:cs="Arial"/>
                <w:sz w:val="22"/>
                <w:szCs w:val="22"/>
              </w:rPr>
            </w:pPr>
            <w:r>
              <w:rPr>
                <w:rFonts w:ascii="Arial" w:hAnsi="Arial" w:cs="Arial"/>
                <w:sz w:val="22"/>
                <w:szCs w:val="22"/>
              </w:rPr>
              <w:t xml:space="preserve">Observación No. 8- Ministerio de Agricultura y Desarrollo Rural- Estrategia Autogestión- Diseños, requisitos para el primer pago- Anexo técnico. Administrativa (A) con presunta incidencia Disciplinaria (D). </w:t>
            </w:r>
          </w:p>
        </w:tc>
        <w:tc>
          <w:tcPr>
            <w:tcW w:w="4663" w:type="dxa"/>
            <w:hideMark/>
          </w:tcPr>
          <w:p w14:paraId="33ECAB05" w14:textId="77777777" w:rsidR="00984E2B" w:rsidRDefault="00984E2B">
            <w:pPr>
              <w:jc w:val="both"/>
              <w:rPr>
                <w:rFonts w:ascii="Arial" w:hAnsi="Arial" w:cs="Arial"/>
                <w:sz w:val="22"/>
                <w:szCs w:val="22"/>
              </w:rPr>
            </w:pPr>
            <w:r>
              <w:rPr>
                <w:rFonts w:ascii="Arial" w:hAnsi="Arial" w:cs="Arial"/>
                <w:sz w:val="22"/>
                <w:szCs w:val="22"/>
                <w:u w:val="single"/>
              </w:rPr>
              <w:t xml:space="preserve">Hallazgo No. 9 </w:t>
            </w:r>
            <w:r>
              <w:rPr>
                <w:rFonts w:ascii="Arial" w:hAnsi="Arial" w:cs="Arial"/>
                <w:sz w:val="22"/>
                <w:szCs w:val="22"/>
              </w:rPr>
              <w:t>- MADR- Estrategia Autogestión- Diseños, requisitos para el primer pago- Anexo técnico. Administrativo (A) con posible incidencia disciplinaria (D8).</w:t>
            </w:r>
          </w:p>
        </w:tc>
      </w:tr>
      <w:tr w:rsidR="00984E2B" w14:paraId="70722F19" w14:textId="77777777" w:rsidTr="00984E2B">
        <w:trPr>
          <w:trHeight w:val="1330"/>
        </w:trPr>
        <w:tc>
          <w:tcPr>
            <w:tcW w:w="5118" w:type="dxa"/>
            <w:hideMark/>
          </w:tcPr>
          <w:p w14:paraId="03E4447D" w14:textId="77777777" w:rsidR="00984E2B" w:rsidRDefault="00984E2B">
            <w:pPr>
              <w:jc w:val="both"/>
              <w:rPr>
                <w:rFonts w:ascii="Arial" w:hAnsi="Arial" w:cs="Arial"/>
                <w:sz w:val="22"/>
                <w:szCs w:val="22"/>
              </w:rPr>
            </w:pPr>
            <w:r>
              <w:rPr>
                <w:rFonts w:ascii="Arial" w:hAnsi="Arial" w:cs="Arial"/>
                <w:sz w:val="22"/>
                <w:szCs w:val="22"/>
              </w:rPr>
              <w:t xml:space="preserve">Observación No. 9- Ministerio de Agricultura y Desarrollo Rural. Estrategia Autogestión, Anexo técnico, Garantías contractuales- Requisito para el primer pago. Administrativa (A) con presunta incidencia disciplinaria (D). </w:t>
            </w:r>
          </w:p>
        </w:tc>
        <w:tc>
          <w:tcPr>
            <w:tcW w:w="4663" w:type="dxa"/>
            <w:hideMark/>
          </w:tcPr>
          <w:p w14:paraId="6724237C" w14:textId="77777777" w:rsidR="00984E2B" w:rsidRDefault="00984E2B">
            <w:pPr>
              <w:jc w:val="both"/>
              <w:rPr>
                <w:rFonts w:ascii="Arial" w:hAnsi="Arial" w:cs="Arial"/>
                <w:sz w:val="22"/>
                <w:szCs w:val="22"/>
              </w:rPr>
            </w:pPr>
            <w:r>
              <w:rPr>
                <w:rFonts w:ascii="Arial" w:hAnsi="Arial" w:cs="Arial"/>
                <w:sz w:val="22"/>
                <w:szCs w:val="22"/>
                <w:u w:val="single"/>
              </w:rPr>
              <w:t xml:space="preserve">Hallazgo No. 10 </w:t>
            </w:r>
            <w:r>
              <w:rPr>
                <w:rFonts w:ascii="Arial" w:hAnsi="Arial" w:cs="Arial"/>
                <w:sz w:val="22"/>
                <w:szCs w:val="22"/>
              </w:rPr>
              <w:t>MADR. Estrategia Autogestión, Anexo técnico, Garantías contractuales- Requisito para el primer pago. Administrativo (A) con posible incidencia disciplinaria (D9).</w:t>
            </w:r>
          </w:p>
        </w:tc>
      </w:tr>
      <w:tr w:rsidR="00984E2B" w14:paraId="29C7B9D9" w14:textId="77777777" w:rsidTr="00984E2B">
        <w:trPr>
          <w:trHeight w:val="1330"/>
        </w:trPr>
        <w:tc>
          <w:tcPr>
            <w:tcW w:w="5118" w:type="dxa"/>
            <w:hideMark/>
          </w:tcPr>
          <w:p w14:paraId="6785D73A" w14:textId="77777777" w:rsidR="00984E2B" w:rsidRDefault="00984E2B">
            <w:pPr>
              <w:jc w:val="both"/>
              <w:rPr>
                <w:rFonts w:ascii="Arial" w:hAnsi="Arial" w:cs="Arial"/>
                <w:sz w:val="22"/>
                <w:szCs w:val="22"/>
              </w:rPr>
            </w:pPr>
            <w:r>
              <w:rPr>
                <w:rFonts w:ascii="Arial" w:hAnsi="Arial" w:cs="Arial"/>
                <w:sz w:val="22"/>
                <w:szCs w:val="22"/>
                <w:u w:val="single"/>
              </w:rPr>
              <w:t>Observación No.10-</w:t>
            </w:r>
            <w:r>
              <w:rPr>
                <w:rFonts w:ascii="Arial" w:hAnsi="Arial" w:cs="Arial"/>
                <w:sz w:val="22"/>
                <w:szCs w:val="22"/>
              </w:rPr>
              <w:t xml:space="preserve"> Ministerio de Agricultura y Desarrollo Rural. Vinculación de los entes parafiscales agropecuarios en la implementación de la política de datos abiertos y la gobernanza sectorial de datos. Administrativa (A) </w:t>
            </w:r>
          </w:p>
        </w:tc>
        <w:tc>
          <w:tcPr>
            <w:tcW w:w="4663" w:type="dxa"/>
            <w:hideMark/>
          </w:tcPr>
          <w:p w14:paraId="149EC3BC" w14:textId="77777777" w:rsidR="00984E2B" w:rsidRDefault="00984E2B">
            <w:pPr>
              <w:jc w:val="both"/>
              <w:rPr>
                <w:rFonts w:ascii="Arial" w:hAnsi="Arial" w:cs="Arial"/>
                <w:sz w:val="22"/>
                <w:szCs w:val="22"/>
              </w:rPr>
            </w:pPr>
            <w:r>
              <w:rPr>
                <w:rFonts w:ascii="Arial" w:hAnsi="Arial" w:cs="Arial"/>
                <w:sz w:val="22"/>
                <w:szCs w:val="22"/>
                <w:u w:val="single"/>
              </w:rPr>
              <w:t>Hallazgo No. 14</w:t>
            </w:r>
            <w:r>
              <w:rPr>
                <w:rFonts w:ascii="Arial" w:hAnsi="Arial" w:cs="Arial"/>
                <w:sz w:val="22"/>
                <w:szCs w:val="22"/>
              </w:rPr>
              <w:t xml:space="preserve"> -MADR-. Vinculación de los entes parafiscales agropecuarios en la implementación de la política de datos abiertos y la gobernanza sectorial de datos. Administrativo (A).</w:t>
            </w:r>
          </w:p>
        </w:tc>
      </w:tr>
      <w:tr w:rsidR="00984E2B" w14:paraId="224955EF" w14:textId="77777777" w:rsidTr="00984E2B">
        <w:trPr>
          <w:trHeight w:val="1330"/>
        </w:trPr>
        <w:tc>
          <w:tcPr>
            <w:tcW w:w="5118" w:type="dxa"/>
            <w:hideMark/>
          </w:tcPr>
          <w:p w14:paraId="6E31764C" w14:textId="77777777" w:rsidR="00984E2B" w:rsidRDefault="00984E2B">
            <w:pPr>
              <w:jc w:val="both"/>
              <w:rPr>
                <w:rFonts w:ascii="Arial" w:hAnsi="Arial" w:cs="Arial"/>
                <w:sz w:val="22"/>
                <w:szCs w:val="22"/>
              </w:rPr>
            </w:pPr>
            <w:r>
              <w:rPr>
                <w:rFonts w:ascii="Arial" w:hAnsi="Arial" w:cs="Arial"/>
                <w:sz w:val="22"/>
                <w:szCs w:val="22"/>
              </w:rPr>
              <w:t>Observación No. 12- Ministerio de Agricultura y Desarrollo Rural-Programa de Autogestión. Plazo de ejecución, seguimiento y supervisión. Administrativa (A) con presunta incidencia Disciplinaria (D).</w:t>
            </w:r>
          </w:p>
        </w:tc>
        <w:tc>
          <w:tcPr>
            <w:tcW w:w="4663" w:type="dxa"/>
            <w:hideMark/>
          </w:tcPr>
          <w:p w14:paraId="7A9431D9" w14:textId="77777777" w:rsidR="00984E2B" w:rsidRDefault="00984E2B">
            <w:pPr>
              <w:jc w:val="both"/>
              <w:rPr>
                <w:rFonts w:ascii="Arial" w:hAnsi="Arial" w:cs="Arial"/>
                <w:sz w:val="22"/>
                <w:szCs w:val="22"/>
              </w:rPr>
            </w:pPr>
            <w:r>
              <w:rPr>
                <w:rFonts w:ascii="Arial" w:hAnsi="Arial" w:cs="Arial"/>
                <w:sz w:val="22"/>
                <w:szCs w:val="22"/>
                <w:u w:val="single"/>
              </w:rPr>
              <w:t>Hallazgo No. 11</w:t>
            </w:r>
            <w:r>
              <w:rPr>
                <w:rFonts w:ascii="Arial" w:hAnsi="Arial" w:cs="Arial"/>
                <w:sz w:val="22"/>
                <w:szCs w:val="22"/>
              </w:rPr>
              <w:t xml:space="preserve"> MADR- Programa de Autogestión. Plazo de ejecución, seguimiento y supervisión. Administrativo (A) con presunta incidencia disciplinaria (D10).</w:t>
            </w:r>
          </w:p>
        </w:tc>
      </w:tr>
      <w:tr w:rsidR="00984E2B" w14:paraId="6CE4925C" w14:textId="77777777" w:rsidTr="00984E2B">
        <w:trPr>
          <w:trHeight w:val="1330"/>
        </w:trPr>
        <w:tc>
          <w:tcPr>
            <w:tcW w:w="5118" w:type="dxa"/>
            <w:hideMark/>
          </w:tcPr>
          <w:p w14:paraId="72726E4A" w14:textId="77777777" w:rsidR="00984E2B" w:rsidRDefault="00984E2B">
            <w:pPr>
              <w:jc w:val="both"/>
              <w:rPr>
                <w:rFonts w:ascii="Arial" w:hAnsi="Arial" w:cs="Arial"/>
                <w:sz w:val="22"/>
                <w:szCs w:val="22"/>
              </w:rPr>
            </w:pPr>
            <w:r>
              <w:rPr>
                <w:rFonts w:ascii="Arial" w:hAnsi="Arial" w:cs="Arial"/>
                <w:sz w:val="22"/>
                <w:szCs w:val="22"/>
              </w:rPr>
              <w:t>Observación No. 13- MADR – Programa de Autogestión – Construcción de Viga Cinta. Administrativa (A) con presunta incidencia Disciplinaria (D).</w:t>
            </w:r>
          </w:p>
        </w:tc>
        <w:tc>
          <w:tcPr>
            <w:tcW w:w="4663" w:type="dxa"/>
            <w:hideMark/>
          </w:tcPr>
          <w:p w14:paraId="2AFDFD21" w14:textId="77777777" w:rsidR="00984E2B" w:rsidRDefault="00984E2B">
            <w:pPr>
              <w:jc w:val="both"/>
              <w:rPr>
                <w:rFonts w:ascii="Arial" w:hAnsi="Arial" w:cs="Arial"/>
                <w:sz w:val="22"/>
                <w:szCs w:val="22"/>
              </w:rPr>
            </w:pPr>
            <w:r>
              <w:rPr>
                <w:rFonts w:ascii="Arial" w:hAnsi="Arial" w:cs="Arial"/>
                <w:sz w:val="22"/>
                <w:szCs w:val="22"/>
                <w:u w:val="single"/>
              </w:rPr>
              <w:t xml:space="preserve">Hallazgo No. 12 </w:t>
            </w:r>
            <w:r>
              <w:rPr>
                <w:rFonts w:ascii="Arial" w:hAnsi="Arial" w:cs="Arial"/>
                <w:sz w:val="22"/>
                <w:szCs w:val="22"/>
              </w:rPr>
              <w:t>MADR – Programa de Autogestión – Construcción de Viga Cinta. Administrativo (A) con presunta incidencia disciplinaria (D11).</w:t>
            </w:r>
          </w:p>
        </w:tc>
      </w:tr>
      <w:tr w:rsidR="00984E2B" w14:paraId="318C0636" w14:textId="77777777" w:rsidTr="00984E2B">
        <w:trPr>
          <w:trHeight w:val="1330"/>
        </w:trPr>
        <w:tc>
          <w:tcPr>
            <w:tcW w:w="5118" w:type="dxa"/>
            <w:hideMark/>
          </w:tcPr>
          <w:p w14:paraId="17CFB62E" w14:textId="77777777" w:rsidR="00984E2B" w:rsidRDefault="00984E2B">
            <w:pPr>
              <w:jc w:val="both"/>
              <w:rPr>
                <w:rFonts w:ascii="Arial" w:hAnsi="Arial" w:cs="Arial"/>
                <w:sz w:val="22"/>
                <w:szCs w:val="22"/>
              </w:rPr>
            </w:pPr>
            <w:r>
              <w:rPr>
                <w:rFonts w:ascii="Arial" w:hAnsi="Arial" w:cs="Arial"/>
                <w:sz w:val="22"/>
                <w:szCs w:val="22"/>
              </w:rPr>
              <w:t>Observación No. 14 - MADR - Programa de Autogestión - Columnas de</w:t>
            </w:r>
            <w:r>
              <w:rPr>
                <w:rFonts w:ascii="Arial" w:hAnsi="Arial" w:cs="Arial"/>
                <w:sz w:val="22"/>
                <w:szCs w:val="22"/>
              </w:rPr>
              <w:br/>
              <w:t>confinamiento. Administrativa (A) con presunta incidencia Disciplinaria (D) y Fiscal (F).</w:t>
            </w:r>
          </w:p>
        </w:tc>
        <w:tc>
          <w:tcPr>
            <w:tcW w:w="4663" w:type="dxa"/>
            <w:hideMark/>
          </w:tcPr>
          <w:p w14:paraId="168CC5C6" w14:textId="77777777" w:rsidR="00984E2B" w:rsidRDefault="00984E2B">
            <w:pPr>
              <w:jc w:val="both"/>
              <w:rPr>
                <w:rFonts w:ascii="Arial" w:hAnsi="Arial" w:cs="Arial"/>
                <w:sz w:val="22"/>
                <w:szCs w:val="22"/>
              </w:rPr>
            </w:pPr>
            <w:r>
              <w:rPr>
                <w:rFonts w:ascii="Arial" w:hAnsi="Arial" w:cs="Arial"/>
                <w:sz w:val="22"/>
                <w:szCs w:val="22"/>
                <w:u w:val="single"/>
              </w:rPr>
              <w:t xml:space="preserve">Hallazgo No. </w:t>
            </w:r>
            <w:proofErr w:type="gramStart"/>
            <w:r>
              <w:rPr>
                <w:rFonts w:ascii="Arial" w:hAnsi="Arial" w:cs="Arial"/>
                <w:sz w:val="22"/>
                <w:szCs w:val="22"/>
                <w:u w:val="single"/>
              </w:rPr>
              <w:t xml:space="preserve">13  </w:t>
            </w:r>
            <w:r>
              <w:rPr>
                <w:rFonts w:ascii="Arial" w:hAnsi="Arial" w:cs="Arial"/>
                <w:sz w:val="22"/>
                <w:szCs w:val="22"/>
              </w:rPr>
              <w:t>MADR</w:t>
            </w:r>
            <w:proofErr w:type="gramEnd"/>
            <w:r>
              <w:rPr>
                <w:rFonts w:ascii="Arial" w:hAnsi="Arial" w:cs="Arial"/>
                <w:sz w:val="22"/>
                <w:szCs w:val="22"/>
              </w:rPr>
              <w:t xml:space="preserve"> - Programa de Autogestión - Columnas de</w:t>
            </w:r>
            <w:r>
              <w:rPr>
                <w:rFonts w:ascii="Arial" w:hAnsi="Arial" w:cs="Arial"/>
                <w:sz w:val="22"/>
                <w:szCs w:val="22"/>
              </w:rPr>
              <w:br/>
              <w:t>confinamiento. Administrativo (A) con connotación fiscal (F9) y presunta incidencia disciplinaria (D12).</w:t>
            </w:r>
          </w:p>
        </w:tc>
      </w:tr>
    </w:tbl>
    <w:p w14:paraId="38F79503" w14:textId="77777777" w:rsidR="00984E2B" w:rsidRDefault="00984E2B" w:rsidP="00BC0F32">
      <w:pPr>
        <w:ind w:left="-567"/>
        <w:jc w:val="both"/>
        <w:rPr>
          <w:rFonts w:ascii="Arial" w:eastAsiaTheme="minorEastAsia" w:hAnsi="Arial" w:cs="Arial"/>
          <w:color w:val="000000" w:themeColor="text1"/>
          <w:sz w:val="22"/>
          <w:szCs w:val="22"/>
        </w:rPr>
      </w:pPr>
    </w:p>
    <w:p w14:paraId="344CFB92" w14:textId="5F6B786B" w:rsidR="00BC0F32" w:rsidRDefault="00BC0F32" w:rsidP="00BC0F32">
      <w:pPr>
        <w:ind w:left="-567"/>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 xml:space="preserve">Se registra como recomendación adoptar el plan de acción dirigido a optimizar la gestión y superar </w:t>
      </w:r>
      <w:r w:rsidR="00902550">
        <w:rPr>
          <w:rFonts w:ascii="Arial" w:eastAsiaTheme="minorEastAsia" w:hAnsi="Arial" w:cs="Arial"/>
          <w:color w:val="000000" w:themeColor="text1"/>
          <w:sz w:val="22"/>
          <w:szCs w:val="22"/>
        </w:rPr>
        <w:t xml:space="preserve">las deficiencias identificadas por la Contraloría. </w:t>
      </w:r>
    </w:p>
    <w:p w14:paraId="74AF2898" w14:textId="77777777" w:rsidR="00655539" w:rsidRDefault="00655539" w:rsidP="00BC0F32">
      <w:pPr>
        <w:ind w:left="-567"/>
        <w:jc w:val="both"/>
        <w:rPr>
          <w:rFonts w:ascii="Arial" w:eastAsiaTheme="minorEastAsia" w:hAnsi="Arial" w:cs="Arial"/>
          <w:color w:val="000000" w:themeColor="text1"/>
          <w:sz w:val="22"/>
          <w:szCs w:val="22"/>
        </w:rPr>
      </w:pPr>
    </w:p>
    <w:p w14:paraId="0B366543" w14:textId="77777777" w:rsidR="00655539" w:rsidRDefault="00655539" w:rsidP="00BC0F32">
      <w:pPr>
        <w:ind w:left="-567"/>
        <w:jc w:val="both"/>
        <w:rPr>
          <w:rFonts w:ascii="Arial" w:eastAsiaTheme="minorEastAsia" w:hAnsi="Arial" w:cs="Arial"/>
          <w:color w:val="000000" w:themeColor="text1"/>
          <w:sz w:val="22"/>
          <w:szCs w:val="22"/>
        </w:rPr>
      </w:pPr>
    </w:p>
    <w:p w14:paraId="45FF6EE7" w14:textId="77777777" w:rsidR="00655539" w:rsidRPr="00655539" w:rsidRDefault="00655539" w:rsidP="00655539">
      <w:pPr>
        <w:ind w:left="-567"/>
        <w:jc w:val="both"/>
        <w:rPr>
          <w:rFonts w:ascii="Arial" w:eastAsiaTheme="minorEastAsia" w:hAnsi="Arial" w:cs="Arial"/>
          <w:color w:val="000000" w:themeColor="text1"/>
          <w:sz w:val="22"/>
          <w:szCs w:val="22"/>
          <w:lang w:val="es-MX"/>
        </w:rPr>
      </w:pPr>
      <w:proofErr w:type="spellStart"/>
      <w:r w:rsidRPr="00655539">
        <w:rPr>
          <w:rFonts w:ascii="Arial" w:eastAsiaTheme="minorEastAsia" w:hAnsi="Arial" w:cs="Arial"/>
          <w:color w:val="000000" w:themeColor="text1"/>
          <w:sz w:val="22"/>
          <w:szCs w:val="22"/>
          <w:lang w:val="es-ES"/>
        </w:rPr>
        <w:lastRenderedPageBreak/>
        <w:t>Asi</w:t>
      </w:r>
      <w:proofErr w:type="spellEnd"/>
      <w:r w:rsidRPr="00655539">
        <w:rPr>
          <w:rFonts w:ascii="Arial" w:eastAsiaTheme="minorEastAsia" w:hAnsi="Arial" w:cs="Arial"/>
          <w:color w:val="000000" w:themeColor="text1"/>
          <w:sz w:val="22"/>
          <w:szCs w:val="22"/>
          <w:lang w:val="es-ES"/>
        </w:rPr>
        <w:t xml:space="preserve"> las cosas mediante el radicado 2026-440-00742-3 del 16 de enero de 2026, la Dirección de Gestión de Bienes Públicos Rurales presentó ante la Dra. Sandra Milena Ruano </w:t>
      </w:r>
      <w:proofErr w:type="gramStart"/>
      <w:r w:rsidRPr="00655539">
        <w:rPr>
          <w:rFonts w:ascii="Arial" w:eastAsiaTheme="minorEastAsia" w:hAnsi="Arial" w:cs="Arial"/>
          <w:color w:val="000000" w:themeColor="text1"/>
          <w:sz w:val="22"/>
          <w:szCs w:val="22"/>
          <w:lang w:val="es-ES"/>
        </w:rPr>
        <w:t>Reyes  Jefe</w:t>
      </w:r>
      <w:proofErr w:type="gramEnd"/>
      <w:r w:rsidRPr="00655539">
        <w:rPr>
          <w:rFonts w:ascii="Arial" w:eastAsiaTheme="minorEastAsia" w:hAnsi="Arial" w:cs="Arial"/>
          <w:color w:val="000000" w:themeColor="text1"/>
          <w:sz w:val="22"/>
          <w:szCs w:val="22"/>
          <w:lang w:val="es-ES"/>
        </w:rPr>
        <w:t xml:space="preserve"> (e ) de la Oficina de Control Interno Disciplinario el Plan de Mejoramiento adjuntado el archivo Excel denominado </w:t>
      </w:r>
      <w:r w:rsidRPr="00655539">
        <w:rPr>
          <w:rFonts w:ascii="Arial" w:eastAsiaTheme="minorEastAsia" w:hAnsi="Arial" w:cs="Arial"/>
          <w:i/>
          <w:iCs/>
          <w:color w:val="000000" w:themeColor="text1"/>
          <w:sz w:val="22"/>
          <w:szCs w:val="22"/>
          <w:lang w:val="es-ES"/>
        </w:rPr>
        <w:t>“ 53_000000081_202512048(4).xlsx-400 F14.1 PLANES DE MEJORA” </w:t>
      </w:r>
      <w:r w:rsidRPr="00655539">
        <w:rPr>
          <w:rFonts w:ascii="Arial" w:eastAsiaTheme="minorEastAsia" w:hAnsi="Arial" w:cs="Arial"/>
          <w:color w:val="000000" w:themeColor="text1"/>
          <w:sz w:val="22"/>
          <w:szCs w:val="22"/>
          <w:lang w:val="es-MX"/>
        </w:rPr>
        <w:t> </w:t>
      </w:r>
    </w:p>
    <w:p w14:paraId="6ED5C567" w14:textId="77777777" w:rsidR="00B2723D" w:rsidRDefault="00655539" w:rsidP="00655539">
      <w:pPr>
        <w:ind w:left="-567"/>
        <w:jc w:val="both"/>
        <w:rPr>
          <w:rFonts w:ascii="Arial" w:eastAsiaTheme="minorEastAsia" w:hAnsi="Arial" w:cs="Arial"/>
          <w:color w:val="000000" w:themeColor="text1"/>
          <w:sz w:val="22"/>
          <w:szCs w:val="22"/>
          <w:lang w:val="es-ES"/>
        </w:rPr>
      </w:pPr>
      <w:r w:rsidRPr="00655539">
        <w:rPr>
          <w:rFonts w:ascii="Arial" w:eastAsiaTheme="minorEastAsia" w:hAnsi="Arial" w:cs="Arial"/>
          <w:color w:val="000000" w:themeColor="text1"/>
          <w:sz w:val="22"/>
          <w:szCs w:val="22"/>
          <w:lang w:val="es-ES"/>
        </w:rPr>
        <w:t xml:space="preserve">Dentro del plan de mejoramiento antes mencionado se indicaron </w:t>
      </w:r>
      <w:proofErr w:type="gramStart"/>
      <w:r w:rsidRPr="00655539">
        <w:rPr>
          <w:rFonts w:ascii="Arial" w:eastAsiaTheme="minorEastAsia" w:hAnsi="Arial" w:cs="Arial"/>
          <w:color w:val="000000" w:themeColor="text1"/>
          <w:sz w:val="22"/>
          <w:szCs w:val="22"/>
          <w:lang w:val="es-ES"/>
        </w:rPr>
        <w:t>las  siguientes</w:t>
      </w:r>
      <w:proofErr w:type="gramEnd"/>
      <w:r w:rsidRPr="00655539">
        <w:rPr>
          <w:rFonts w:ascii="Arial" w:eastAsiaTheme="minorEastAsia" w:hAnsi="Arial" w:cs="Arial"/>
          <w:color w:val="000000" w:themeColor="text1"/>
          <w:sz w:val="22"/>
          <w:szCs w:val="22"/>
          <w:lang w:val="es-ES"/>
        </w:rPr>
        <w:t xml:space="preserve"> acciones de mejora  con su correspondiente actividad asociadas, tal como se</w:t>
      </w:r>
      <w:r w:rsidR="00B2723D">
        <w:rPr>
          <w:rFonts w:ascii="Arial" w:eastAsiaTheme="minorEastAsia" w:hAnsi="Arial" w:cs="Arial"/>
          <w:color w:val="000000" w:themeColor="text1"/>
          <w:sz w:val="22"/>
          <w:szCs w:val="22"/>
          <w:lang w:val="es-ES"/>
        </w:rPr>
        <w:t xml:space="preserve"> detalla a continuación: </w:t>
      </w:r>
    </w:p>
    <w:p w14:paraId="7E69FA75" w14:textId="77777777" w:rsidR="00B2723D" w:rsidRDefault="00B2723D" w:rsidP="00655539">
      <w:pPr>
        <w:ind w:left="-567"/>
        <w:jc w:val="both"/>
        <w:rPr>
          <w:rFonts w:ascii="Arial" w:eastAsiaTheme="minorEastAsia" w:hAnsi="Arial" w:cs="Arial"/>
          <w:color w:val="000000" w:themeColor="text1"/>
          <w:sz w:val="22"/>
          <w:szCs w:val="22"/>
          <w:lang w:val="es-ES"/>
        </w:rPr>
      </w:pPr>
    </w:p>
    <w:tbl>
      <w:tblPr>
        <w:tblW w:w="9498" w:type="dxa"/>
        <w:tblInd w:w="-57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87"/>
        <w:gridCol w:w="2464"/>
        <w:gridCol w:w="3159"/>
        <w:gridCol w:w="1788"/>
      </w:tblGrid>
      <w:tr w:rsidR="00190CF3" w14:paraId="01284026" w14:textId="77777777" w:rsidTr="00190CF3">
        <w:trPr>
          <w:trHeight w:val="300"/>
        </w:trPr>
        <w:tc>
          <w:tcPr>
            <w:tcW w:w="2087" w:type="dxa"/>
            <w:tcBorders>
              <w:top w:val="single" w:sz="6" w:space="0" w:color="auto"/>
              <w:left w:val="single" w:sz="6" w:space="0" w:color="auto"/>
              <w:bottom w:val="single" w:sz="6" w:space="0" w:color="auto"/>
              <w:right w:val="single" w:sz="6" w:space="0" w:color="auto"/>
            </w:tcBorders>
            <w:hideMark/>
          </w:tcPr>
          <w:p w14:paraId="61880C88" w14:textId="4D71BD61"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Hallazgo</w:t>
            </w:r>
          </w:p>
        </w:tc>
        <w:tc>
          <w:tcPr>
            <w:tcW w:w="2464" w:type="dxa"/>
            <w:tcBorders>
              <w:top w:val="single" w:sz="6" w:space="0" w:color="auto"/>
              <w:left w:val="single" w:sz="6" w:space="0" w:color="auto"/>
              <w:bottom w:val="single" w:sz="6" w:space="0" w:color="auto"/>
              <w:right w:val="single" w:sz="6" w:space="0" w:color="auto"/>
            </w:tcBorders>
            <w:hideMark/>
          </w:tcPr>
          <w:p w14:paraId="3B559A51" w14:textId="75B468AE"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Acción de mejora</w:t>
            </w:r>
          </w:p>
        </w:tc>
        <w:tc>
          <w:tcPr>
            <w:tcW w:w="3159" w:type="dxa"/>
            <w:tcBorders>
              <w:top w:val="single" w:sz="6" w:space="0" w:color="auto"/>
              <w:left w:val="single" w:sz="6" w:space="0" w:color="auto"/>
              <w:bottom w:val="single" w:sz="6" w:space="0" w:color="auto"/>
              <w:right w:val="single" w:sz="6" w:space="0" w:color="auto"/>
            </w:tcBorders>
            <w:hideMark/>
          </w:tcPr>
          <w:p w14:paraId="5E0DF841" w14:textId="2BAABF8F"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Actividad</w:t>
            </w:r>
          </w:p>
        </w:tc>
        <w:tc>
          <w:tcPr>
            <w:tcW w:w="1788" w:type="dxa"/>
            <w:tcBorders>
              <w:top w:val="single" w:sz="6" w:space="0" w:color="auto"/>
              <w:left w:val="single" w:sz="6" w:space="0" w:color="auto"/>
              <w:bottom w:val="single" w:sz="6" w:space="0" w:color="auto"/>
              <w:right w:val="single" w:sz="6" w:space="0" w:color="auto"/>
            </w:tcBorders>
            <w:hideMark/>
          </w:tcPr>
          <w:p w14:paraId="58F9C5DB" w14:textId="6EE65846"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Desarrollo de la actividad</w:t>
            </w:r>
          </w:p>
        </w:tc>
      </w:tr>
      <w:tr w:rsidR="00190CF3" w14:paraId="2F7889B3" w14:textId="77777777" w:rsidTr="00190CF3">
        <w:trPr>
          <w:trHeight w:val="300"/>
        </w:trPr>
        <w:tc>
          <w:tcPr>
            <w:tcW w:w="2087" w:type="dxa"/>
            <w:tcBorders>
              <w:top w:val="single" w:sz="6" w:space="0" w:color="auto"/>
              <w:left w:val="single" w:sz="6" w:space="0" w:color="auto"/>
              <w:bottom w:val="single" w:sz="6" w:space="0" w:color="auto"/>
              <w:right w:val="single" w:sz="6" w:space="0" w:color="auto"/>
            </w:tcBorders>
            <w:hideMark/>
          </w:tcPr>
          <w:p w14:paraId="0031A044" w14:textId="1F7B015A"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Hallazgo No. 8 -MADR- Pago para adelantar la protocolización de los Subsidios Familiares de Vivienda de Interés Social Rural- SFVISR. Administrativo (A) con connotación fiscal (F) y posible alcance disciplinaria (D).</w:t>
            </w:r>
          </w:p>
        </w:tc>
        <w:tc>
          <w:tcPr>
            <w:tcW w:w="2464" w:type="dxa"/>
            <w:tcBorders>
              <w:top w:val="single" w:sz="6" w:space="0" w:color="auto"/>
              <w:left w:val="single" w:sz="6" w:space="0" w:color="auto"/>
              <w:bottom w:val="single" w:sz="6" w:space="0" w:color="auto"/>
              <w:right w:val="single" w:sz="6" w:space="0" w:color="auto"/>
            </w:tcBorders>
            <w:hideMark/>
          </w:tcPr>
          <w:p w14:paraId="0ADDF57F" w14:textId="2520C5B0"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 xml:space="preserve">Determinar los conceptos que con </w:t>
            </w:r>
            <w:proofErr w:type="gramStart"/>
            <w:r>
              <w:rPr>
                <w:rStyle w:val="normaltextrun"/>
                <w:rFonts w:ascii="Calibri" w:eastAsiaTheme="majorEastAsia" w:hAnsi="Calibri" w:cs="Calibri"/>
                <w:i/>
                <w:iCs/>
                <w:sz w:val="22"/>
                <w:szCs w:val="22"/>
                <w:lang w:val="es-CO"/>
              </w:rPr>
              <w:t>fundamento  en</w:t>
            </w:r>
            <w:proofErr w:type="gramEnd"/>
            <w:r>
              <w:rPr>
                <w:rStyle w:val="normaltextrun"/>
                <w:rFonts w:ascii="Calibri" w:eastAsiaTheme="majorEastAsia" w:hAnsi="Calibri" w:cs="Calibri"/>
                <w:i/>
                <w:iCs/>
                <w:sz w:val="22"/>
                <w:szCs w:val="22"/>
                <w:lang w:val="es-CO"/>
              </w:rPr>
              <w:t xml:space="preserve"> la norma pueden o no ser cobrados e informar estos datos a los beneficiarios, por esa razón en los contratos no debe registrarse ese concepto.</w:t>
            </w:r>
          </w:p>
        </w:tc>
        <w:tc>
          <w:tcPr>
            <w:tcW w:w="3159" w:type="dxa"/>
            <w:tcBorders>
              <w:top w:val="single" w:sz="6" w:space="0" w:color="auto"/>
              <w:left w:val="single" w:sz="6" w:space="0" w:color="auto"/>
              <w:bottom w:val="single" w:sz="6" w:space="0" w:color="auto"/>
              <w:right w:val="single" w:sz="6" w:space="0" w:color="auto"/>
            </w:tcBorders>
            <w:hideMark/>
          </w:tcPr>
          <w:p w14:paraId="001FCF3C" w14:textId="50838DA4"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Realizar solicitud de concepto a la Superintendencia de Notariado y Registro con el propósito de establecer cuáles conceptos son susceptibles de no cobro por parte de las notarías y determinar qué otro costo si debe ser pagado. G11</w:t>
            </w:r>
          </w:p>
        </w:tc>
        <w:tc>
          <w:tcPr>
            <w:tcW w:w="1788" w:type="dxa"/>
            <w:tcBorders>
              <w:top w:val="single" w:sz="6" w:space="0" w:color="auto"/>
              <w:left w:val="single" w:sz="6" w:space="0" w:color="auto"/>
              <w:bottom w:val="single" w:sz="6" w:space="0" w:color="auto"/>
              <w:right w:val="single" w:sz="6" w:space="0" w:color="auto"/>
            </w:tcBorders>
            <w:hideMark/>
          </w:tcPr>
          <w:p w14:paraId="5F5DE073" w14:textId="15D55D35"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Se </w:t>
            </w:r>
            <w:proofErr w:type="spellStart"/>
            <w:r>
              <w:rPr>
                <w:rStyle w:val="normaltextrun"/>
                <w:rFonts w:ascii="Calibri" w:eastAsiaTheme="majorEastAsia" w:hAnsi="Calibri" w:cs="Calibri"/>
                <w:i/>
                <w:iCs/>
                <w:sz w:val="22"/>
                <w:szCs w:val="22"/>
                <w:lang w:val="es-CO"/>
              </w:rPr>
              <w:t>remitio</w:t>
            </w:r>
            <w:proofErr w:type="spellEnd"/>
            <w:r>
              <w:rPr>
                <w:rStyle w:val="normaltextrun"/>
                <w:rFonts w:ascii="Calibri" w:eastAsiaTheme="majorEastAsia" w:hAnsi="Calibri" w:cs="Calibri"/>
                <w:i/>
                <w:iCs/>
                <w:sz w:val="22"/>
                <w:szCs w:val="22"/>
                <w:lang w:val="es-CO"/>
              </w:rPr>
              <w:t> la correspondiente consulta a la Superintendencia de Notariado y Registro solicitando la información.</w:t>
            </w:r>
          </w:p>
        </w:tc>
      </w:tr>
      <w:tr w:rsidR="00190CF3" w14:paraId="1954720E" w14:textId="77777777" w:rsidTr="00190CF3">
        <w:trPr>
          <w:trHeight w:val="300"/>
        </w:trPr>
        <w:tc>
          <w:tcPr>
            <w:tcW w:w="2087" w:type="dxa"/>
            <w:tcBorders>
              <w:top w:val="single" w:sz="6" w:space="0" w:color="auto"/>
              <w:left w:val="single" w:sz="6" w:space="0" w:color="auto"/>
              <w:bottom w:val="single" w:sz="6" w:space="0" w:color="auto"/>
              <w:right w:val="single" w:sz="6" w:space="0" w:color="auto"/>
            </w:tcBorders>
            <w:hideMark/>
          </w:tcPr>
          <w:p w14:paraId="3E476BCC" w14:textId="4CEFAC6A"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Hallazgo No. 9 - MADR- Estrategia Autogestión- Diseños, requisitos para el primer pago- Anexo técnico. Administrativa (A) con posible incidencia disciplinaria (D).</w:t>
            </w:r>
          </w:p>
        </w:tc>
        <w:tc>
          <w:tcPr>
            <w:tcW w:w="2464" w:type="dxa"/>
            <w:tcBorders>
              <w:top w:val="single" w:sz="6" w:space="0" w:color="auto"/>
              <w:left w:val="single" w:sz="6" w:space="0" w:color="auto"/>
              <w:bottom w:val="single" w:sz="6" w:space="0" w:color="auto"/>
              <w:right w:val="single" w:sz="6" w:space="0" w:color="auto"/>
            </w:tcBorders>
            <w:hideMark/>
          </w:tcPr>
          <w:p w14:paraId="54FF4DCB" w14:textId="754CA8C2"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Reestructurar el esquema normativo de validación técnica de vivienda rural basado en la capacidad operativa real y el rol rector del Ministerio, en relación con los diseños y documentos soporte.</w:t>
            </w:r>
          </w:p>
        </w:tc>
        <w:tc>
          <w:tcPr>
            <w:tcW w:w="3159" w:type="dxa"/>
            <w:tcBorders>
              <w:top w:val="single" w:sz="6" w:space="0" w:color="auto"/>
              <w:left w:val="single" w:sz="6" w:space="0" w:color="auto"/>
              <w:bottom w:val="single" w:sz="6" w:space="0" w:color="auto"/>
              <w:right w:val="single" w:sz="6" w:space="0" w:color="auto"/>
            </w:tcBorders>
            <w:hideMark/>
          </w:tcPr>
          <w:p w14:paraId="61585908" w14:textId="61DDAB5C"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Sustentar mediante estudio de cargas la actualización normativa de los Anexos Técnicos para sustituir la verificación unitaria de diseños por la aprobación de tipologías estandarizadas; esto permitirá radicar la responsabilidad de la adaptación en terreno exclusivamente en el Ejecutor y circunscribir el rol del Ministerio a una supervisión estratégica por muestreo, garantizando la concordancia entre la capacidad operativa instalada y el principio de eficiencia administrativa</w:t>
            </w:r>
          </w:p>
        </w:tc>
        <w:tc>
          <w:tcPr>
            <w:tcW w:w="1788" w:type="dxa"/>
            <w:tcBorders>
              <w:top w:val="single" w:sz="6" w:space="0" w:color="auto"/>
              <w:left w:val="single" w:sz="6" w:space="0" w:color="auto"/>
              <w:bottom w:val="single" w:sz="6" w:space="0" w:color="auto"/>
              <w:right w:val="single" w:sz="6" w:space="0" w:color="auto"/>
            </w:tcBorders>
            <w:hideMark/>
          </w:tcPr>
          <w:p w14:paraId="155C8484" w14:textId="356583C2"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Se están iniciando las labores necesarias para lograr la materialización de la acción de mejora.</w:t>
            </w:r>
          </w:p>
        </w:tc>
      </w:tr>
      <w:tr w:rsidR="00190CF3" w14:paraId="631DEB6F" w14:textId="77777777" w:rsidTr="00190CF3">
        <w:trPr>
          <w:trHeight w:val="300"/>
        </w:trPr>
        <w:tc>
          <w:tcPr>
            <w:tcW w:w="2087" w:type="dxa"/>
            <w:tcBorders>
              <w:top w:val="single" w:sz="6" w:space="0" w:color="auto"/>
              <w:left w:val="single" w:sz="6" w:space="0" w:color="auto"/>
              <w:bottom w:val="single" w:sz="6" w:space="0" w:color="auto"/>
              <w:right w:val="single" w:sz="6" w:space="0" w:color="auto"/>
            </w:tcBorders>
            <w:hideMark/>
          </w:tcPr>
          <w:p w14:paraId="57A83C1B" w14:textId="21B64CBB"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Hallazgo No. 10- MADR. Estrategia Autogestión, Anexo técnico, Garantías contractuales- Requisito para el primer pago. Administrativo (A) con posible incidencia disciplinaria (D)</w:t>
            </w:r>
          </w:p>
        </w:tc>
        <w:tc>
          <w:tcPr>
            <w:tcW w:w="2464" w:type="dxa"/>
            <w:tcBorders>
              <w:top w:val="single" w:sz="6" w:space="0" w:color="auto"/>
              <w:left w:val="single" w:sz="6" w:space="0" w:color="auto"/>
              <w:bottom w:val="single" w:sz="6" w:space="0" w:color="auto"/>
              <w:right w:val="single" w:sz="6" w:space="0" w:color="auto"/>
            </w:tcBorders>
            <w:hideMark/>
          </w:tcPr>
          <w:p w14:paraId="6C16BA69" w14:textId="18F300AE"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 xml:space="preserve">Actualizar las disposiciones normativas, creando un acápite de excepción de garantías, que condicione la validez de la "certificación de no constitución" a la presentación obligatoria de soportes de debida diligencia por parte del contratista, asegurando la </w:t>
            </w:r>
            <w:r>
              <w:rPr>
                <w:rStyle w:val="normaltextrun"/>
                <w:rFonts w:ascii="Calibri" w:eastAsiaTheme="majorEastAsia" w:hAnsi="Calibri" w:cs="Calibri"/>
                <w:i/>
                <w:iCs/>
                <w:sz w:val="22"/>
                <w:szCs w:val="22"/>
                <w:lang w:val="es-CO"/>
              </w:rPr>
              <w:lastRenderedPageBreak/>
              <w:t>aplicación restrictiva del inciso segundo del numeral 5.3.4 de la Resolución 428 de 2022.</w:t>
            </w:r>
          </w:p>
        </w:tc>
        <w:tc>
          <w:tcPr>
            <w:tcW w:w="3159" w:type="dxa"/>
            <w:tcBorders>
              <w:top w:val="single" w:sz="6" w:space="0" w:color="auto"/>
              <w:left w:val="single" w:sz="6" w:space="0" w:color="auto"/>
              <w:bottom w:val="single" w:sz="6" w:space="0" w:color="auto"/>
              <w:right w:val="single" w:sz="6" w:space="0" w:color="auto"/>
            </w:tcBorders>
            <w:hideMark/>
          </w:tcPr>
          <w:p w14:paraId="3EFA4FD9" w14:textId="1003E003" w:rsidR="00190CF3" w:rsidRDefault="00190CF3" w:rsidP="00190CF3">
            <w:pPr>
              <w:pStyle w:val="paragraph"/>
              <w:spacing w:before="0" w:beforeAutospacing="0" w:after="0" w:afterAutospacing="0"/>
              <w:jc w:val="center"/>
              <w:textAlignment w:val="baseline"/>
              <w:rPr>
                <w:rFonts w:ascii="Segoe UI" w:hAnsi="Segoe UI" w:cs="Segoe UI"/>
                <w:sz w:val="18"/>
                <w:szCs w:val="18"/>
              </w:rPr>
            </w:pPr>
            <w:proofErr w:type="gramStart"/>
            <w:r>
              <w:rPr>
                <w:rStyle w:val="normaltextrun"/>
                <w:rFonts w:ascii="Calibri" w:eastAsiaTheme="majorEastAsia" w:hAnsi="Calibri" w:cs="Calibri"/>
                <w:i/>
                <w:iCs/>
                <w:sz w:val="22"/>
                <w:szCs w:val="22"/>
                <w:lang w:val="es-CO"/>
              </w:rPr>
              <w:lastRenderedPageBreak/>
              <w:t>Realizar  la</w:t>
            </w:r>
            <w:proofErr w:type="gramEnd"/>
            <w:r>
              <w:rPr>
                <w:rStyle w:val="normaltextrun"/>
                <w:rFonts w:ascii="Calibri" w:eastAsiaTheme="majorEastAsia" w:hAnsi="Calibri" w:cs="Calibri"/>
                <w:i/>
                <w:iCs/>
                <w:sz w:val="22"/>
                <w:szCs w:val="22"/>
                <w:lang w:val="es-CO"/>
              </w:rPr>
              <w:t xml:space="preserve"> Reglamentación del acápite de Excepción  de garantías para la aplicación del inciso segundo del numeral 5.3.4 de la Resolución 428 de 2022. Esto implica que, para aceptar la "certificación de no constitución" (negativa de la aseguradora), el contratista debe aportar una prueba sumaria que demuestre la debida diligencia (ej. </w:t>
            </w:r>
            <w:r>
              <w:rPr>
                <w:rStyle w:val="normaltextrun"/>
                <w:rFonts w:ascii="Calibri" w:eastAsiaTheme="majorEastAsia" w:hAnsi="Calibri" w:cs="Calibri"/>
                <w:i/>
                <w:iCs/>
                <w:sz w:val="22"/>
                <w:szCs w:val="22"/>
                <w:lang w:val="es-CO"/>
              </w:rPr>
              <w:lastRenderedPageBreak/>
              <w:t>negativa formal de al menos dos compañías aseguradoras), evitando que la excepción se convierta en la regla general por mera liberalidad.</w:t>
            </w:r>
          </w:p>
        </w:tc>
        <w:tc>
          <w:tcPr>
            <w:tcW w:w="1788" w:type="dxa"/>
            <w:tcBorders>
              <w:top w:val="single" w:sz="6" w:space="0" w:color="auto"/>
              <w:left w:val="single" w:sz="6" w:space="0" w:color="auto"/>
              <w:bottom w:val="single" w:sz="6" w:space="0" w:color="auto"/>
              <w:right w:val="single" w:sz="6" w:space="0" w:color="auto"/>
            </w:tcBorders>
            <w:hideMark/>
          </w:tcPr>
          <w:p w14:paraId="23D5FB7F" w14:textId="127C8A96"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lastRenderedPageBreak/>
              <w:t>Se están iniciando las labores necesarias para lograr la materialización de la acción de mejora.</w:t>
            </w:r>
          </w:p>
        </w:tc>
      </w:tr>
      <w:tr w:rsidR="00190CF3" w14:paraId="08745454" w14:textId="77777777" w:rsidTr="00190CF3">
        <w:trPr>
          <w:trHeight w:val="300"/>
        </w:trPr>
        <w:tc>
          <w:tcPr>
            <w:tcW w:w="2087" w:type="dxa"/>
            <w:tcBorders>
              <w:top w:val="single" w:sz="6" w:space="0" w:color="auto"/>
              <w:left w:val="single" w:sz="6" w:space="0" w:color="auto"/>
              <w:bottom w:val="single" w:sz="6" w:space="0" w:color="auto"/>
              <w:right w:val="single" w:sz="6" w:space="0" w:color="auto"/>
            </w:tcBorders>
            <w:hideMark/>
          </w:tcPr>
          <w:p w14:paraId="0DDDF94A" w14:textId="69AA5CD3"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Hallazgo No. 11 MADR- Programa de Autogestión. Plazo de ejecución,</w:t>
            </w:r>
          </w:p>
        </w:tc>
        <w:tc>
          <w:tcPr>
            <w:tcW w:w="2464" w:type="dxa"/>
            <w:tcBorders>
              <w:top w:val="single" w:sz="6" w:space="0" w:color="auto"/>
              <w:left w:val="single" w:sz="6" w:space="0" w:color="auto"/>
              <w:bottom w:val="single" w:sz="6" w:space="0" w:color="auto"/>
              <w:right w:val="single" w:sz="6" w:space="0" w:color="auto"/>
            </w:tcBorders>
            <w:hideMark/>
          </w:tcPr>
          <w:p w14:paraId="17B137F2" w14:textId="3D6DE3C2"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Modificar el Reglamento Operativo del programa para redefinir el parámetro de ejecución de las obras, sustituyendo el plazo rígido de cuatro (4) meses por un esquema de plazos variables y ajustables fundamentados en criterios técnicos.</w:t>
            </w:r>
          </w:p>
        </w:tc>
        <w:tc>
          <w:tcPr>
            <w:tcW w:w="3159" w:type="dxa"/>
            <w:tcBorders>
              <w:top w:val="single" w:sz="6" w:space="0" w:color="auto"/>
              <w:left w:val="single" w:sz="6" w:space="0" w:color="auto"/>
              <w:bottom w:val="single" w:sz="6" w:space="0" w:color="auto"/>
              <w:right w:val="single" w:sz="6" w:space="0" w:color="auto"/>
            </w:tcBorders>
            <w:hideMark/>
          </w:tcPr>
          <w:p w14:paraId="04BBEAE7" w14:textId="7FB582AA"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La actividad consiste en la actualización del Reglamento Operativo con el fin de suprimir la limitación temporal rígida de cuatro meses, estableciendo en su lugar un mecanismo flexible que permita fijar los cronogramas de ejecución o conceder prórrogas fundamentadas en el diagnóstico técnico de las condiciones específicas de cada predio</w:t>
            </w:r>
          </w:p>
        </w:tc>
        <w:tc>
          <w:tcPr>
            <w:tcW w:w="1788" w:type="dxa"/>
            <w:tcBorders>
              <w:top w:val="single" w:sz="6" w:space="0" w:color="auto"/>
              <w:left w:val="single" w:sz="6" w:space="0" w:color="auto"/>
              <w:bottom w:val="single" w:sz="6" w:space="0" w:color="auto"/>
              <w:right w:val="single" w:sz="6" w:space="0" w:color="auto"/>
            </w:tcBorders>
            <w:hideMark/>
          </w:tcPr>
          <w:p w14:paraId="382F44EF" w14:textId="4EDD5F8D"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La Dirección de Gestión de Bienes Públicos Rurales en la actualización del Reglamento Operativo y lograr materializar la acción de mejora.</w:t>
            </w:r>
          </w:p>
        </w:tc>
      </w:tr>
      <w:tr w:rsidR="00190CF3" w14:paraId="5C8921BC" w14:textId="77777777" w:rsidTr="00190CF3">
        <w:trPr>
          <w:trHeight w:val="300"/>
        </w:trPr>
        <w:tc>
          <w:tcPr>
            <w:tcW w:w="2087" w:type="dxa"/>
            <w:tcBorders>
              <w:top w:val="single" w:sz="6" w:space="0" w:color="auto"/>
              <w:left w:val="single" w:sz="6" w:space="0" w:color="auto"/>
              <w:bottom w:val="single" w:sz="6" w:space="0" w:color="auto"/>
              <w:right w:val="single" w:sz="6" w:space="0" w:color="auto"/>
            </w:tcBorders>
            <w:hideMark/>
          </w:tcPr>
          <w:p w14:paraId="71D3C346" w14:textId="47B80203"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Hallazgo No. 12 MADR – Programa de Autogestión – Construcción de Viga Cinta. Administrativo (A) con presunta incidencia disciplinaria (D11).</w:t>
            </w:r>
          </w:p>
        </w:tc>
        <w:tc>
          <w:tcPr>
            <w:tcW w:w="2464" w:type="dxa"/>
            <w:tcBorders>
              <w:top w:val="single" w:sz="6" w:space="0" w:color="auto"/>
              <w:left w:val="single" w:sz="6" w:space="0" w:color="auto"/>
              <w:bottom w:val="single" w:sz="6" w:space="0" w:color="auto"/>
              <w:right w:val="single" w:sz="6" w:space="0" w:color="auto"/>
            </w:tcBorders>
            <w:hideMark/>
          </w:tcPr>
          <w:p w14:paraId="63F74D70" w14:textId="3BC76D6E"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 xml:space="preserve">Modificar el Reglamento Operativo y los instrumentos normativos del programa SFVISR para incorporar un acápite denominado 'Protocolo de Activación de Rutas Disciplinarias y Sancionatorias', el cual defina el procedimiento para la compulsa de copias ante los entes de control frente a </w:t>
            </w:r>
            <w:proofErr w:type="gramStart"/>
            <w:r>
              <w:rPr>
                <w:rStyle w:val="normaltextrun"/>
                <w:rFonts w:ascii="Calibri" w:eastAsiaTheme="majorEastAsia" w:hAnsi="Calibri" w:cs="Calibri"/>
                <w:i/>
                <w:iCs/>
                <w:sz w:val="22"/>
                <w:szCs w:val="22"/>
                <w:lang w:val="es-CO"/>
              </w:rPr>
              <w:t>presuntos  incumplimientos</w:t>
            </w:r>
            <w:proofErr w:type="gramEnd"/>
            <w:r>
              <w:rPr>
                <w:rStyle w:val="normaltextrun"/>
                <w:rFonts w:ascii="Calibri" w:eastAsiaTheme="majorEastAsia" w:hAnsi="Calibri" w:cs="Calibri"/>
                <w:i/>
                <w:iCs/>
                <w:sz w:val="22"/>
                <w:szCs w:val="22"/>
                <w:lang w:val="es-CO"/>
              </w:rPr>
              <w:t xml:space="preserve"> de los ejecutores de obra.</w:t>
            </w:r>
          </w:p>
        </w:tc>
        <w:tc>
          <w:tcPr>
            <w:tcW w:w="3159" w:type="dxa"/>
            <w:tcBorders>
              <w:top w:val="single" w:sz="6" w:space="0" w:color="auto"/>
              <w:left w:val="single" w:sz="6" w:space="0" w:color="auto"/>
              <w:bottom w:val="single" w:sz="6" w:space="0" w:color="auto"/>
              <w:right w:val="single" w:sz="6" w:space="0" w:color="auto"/>
            </w:tcBorders>
            <w:hideMark/>
          </w:tcPr>
          <w:p w14:paraId="2162A904" w14:textId="7162C112"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La acción de mejora se basa en que los ejecutores (aunque sean privados) manejan recursos públicos (subsidios) y por tanto entran en el radar de la Procuraduría.  Artículo 25 (Destinatarios de la Ley Disciplinaria): Establece que son destinatarios no solo los servidores públicos, sino también "los particulares que cumplan labores de interventoría o supervisión en los contratos estatales".</w:t>
            </w:r>
          </w:p>
          <w:p w14:paraId="60FAC46F" w14:textId="7495BF8E"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Artículo 53 (Sujetos disciplinables - Particulares): Este es el artículo clave. Señala taxativamente que el Código se aplica a los particulares </w:t>
            </w:r>
            <w:proofErr w:type="spellStart"/>
            <w:r>
              <w:rPr>
                <w:rStyle w:val="normaltextrun"/>
                <w:rFonts w:ascii="Calibri" w:eastAsiaTheme="majorEastAsia" w:hAnsi="Calibri" w:cs="Calibri"/>
                <w:i/>
                <w:iCs/>
                <w:sz w:val="22"/>
                <w:szCs w:val="22"/>
                <w:lang w:val="es-CO"/>
              </w:rPr>
              <w:t>que:"Ejerzan</w:t>
            </w:r>
            <w:proofErr w:type="spellEnd"/>
            <w:r>
              <w:rPr>
                <w:rStyle w:val="normaltextrun"/>
                <w:rFonts w:ascii="Calibri" w:eastAsiaTheme="majorEastAsia" w:hAnsi="Calibri" w:cs="Calibri"/>
                <w:i/>
                <w:iCs/>
                <w:sz w:val="22"/>
                <w:szCs w:val="22"/>
                <w:lang w:val="es-CO"/>
              </w:rPr>
              <w:t> funciones públicas de manera permanente o transitoria; (...) administren recursos públicos...". Explicación: Al crear el acápite de "Activación de Rutas", estás reglamentando cómo el Ministerio va a aplicar este Artículo 53 para reportar al ejecutor que no cumplió con la NSR-10.</w:t>
            </w:r>
          </w:p>
        </w:tc>
        <w:tc>
          <w:tcPr>
            <w:tcW w:w="1788" w:type="dxa"/>
            <w:tcBorders>
              <w:top w:val="single" w:sz="6" w:space="0" w:color="auto"/>
              <w:left w:val="single" w:sz="6" w:space="0" w:color="auto"/>
              <w:bottom w:val="single" w:sz="6" w:space="0" w:color="auto"/>
              <w:right w:val="single" w:sz="6" w:space="0" w:color="auto"/>
            </w:tcBorders>
            <w:hideMark/>
          </w:tcPr>
          <w:p w14:paraId="0F4EC931" w14:textId="1DA793DE"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Se están iniciando las labores necesarias para lograr la materialización de la acción de mejora.</w:t>
            </w:r>
          </w:p>
        </w:tc>
      </w:tr>
      <w:tr w:rsidR="00190CF3" w14:paraId="2135332B" w14:textId="77777777" w:rsidTr="00190CF3">
        <w:trPr>
          <w:trHeight w:val="300"/>
        </w:trPr>
        <w:tc>
          <w:tcPr>
            <w:tcW w:w="2087" w:type="dxa"/>
            <w:tcBorders>
              <w:top w:val="single" w:sz="6" w:space="0" w:color="auto"/>
              <w:left w:val="single" w:sz="6" w:space="0" w:color="auto"/>
              <w:bottom w:val="single" w:sz="6" w:space="0" w:color="auto"/>
              <w:right w:val="single" w:sz="6" w:space="0" w:color="auto"/>
            </w:tcBorders>
            <w:hideMark/>
          </w:tcPr>
          <w:p w14:paraId="13E00756" w14:textId="7932147D"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 xml:space="preserve">Hallazgo No. 13 MADR - Programa de </w:t>
            </w:r>
            <w:r>
              <w:rPr>
                <w:rStyle w:val="normaltextrun"/>
                <w:rFonts w:ascii="Calibri" w:eastAsiaTheme="majorEastAsia" w:hAnsi="Calibri" w:cs="Calibri"/>
                <w:i/>
                <w:iCs/>
                <w:sz w:val="22"/>
                <w:szCs w:val="22"/>
                <w:lang w:val="es-CO"/>
              </w:rPr>
              <w:lastRenderedPageBreak/>
              <w:t>Autogestión - Columnas de</w:t>
            </w:r>
          </w:p>
          <w:p w14:paraId="14862026" w14:textId="1148F2BA"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Confinamiento. Administrativo (A) con connotación fiscal (F9) y presunta incidencia disciplinaria (D12).</w:t>
            </w:r>
          </w:p>
        </w:tc>
        <w:tc>
          <w:tcPr>
            <w:tcW w:w="2464" w:type="dxa"/>
            <w:tcBorders>
              <w:top w:val="single" w:sz="6" w:space="0" w:color="auto"/>
              <w:left w:val="single" w:sz="6" w:space="0" w:color="auto"/>
              <w:bottom w:val="single" w:sz="6" w:space="0" w:color="auto"/>
              <w:right w:val="single" w:sz="6" w:space="0" w:color="auto"/>
            </w:tcBorders>
            <w:hideMark/>
          </w:tcPr>
          <w:p w14:paraId="788C043A" w14:textId="6CBDFAA3"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lastRenderedPageBreak/>
              <w:t xml:space="preserve">Actualizar el Reglamento Operativo y los </w:t>
            </w:r>
            <w:r>
              <w:rPr>
                <w:rStyle w:val="normaltextrun"/>
                <w:rFonts w:ascii="Calibri" w:eastAsiaTheme="majorEastAsia" w:hAnsi="Calibri" w:cs="Calibri"/>
                <w:i/>
                <w:iCs/>
                <w:sz w:val="22"/>
                <w:szCs w:val="22"/>
                <w:lang w:val="es-CO"/>
              </w:rPr>
              <w:lastRenderedPageBreak/>
              <w:t xml:space="preserve">instrumentos normativos del programa SFVISR para incorporar un acápite denominado 'Protocolo de Activación de Rutas Disciplinarias y Sancionatorias', el cual defina el procedimiento para la compulsa de copias ante los entes de control frente a </w:t>
            </w:r>
            <w:proofErr w:type="gramStart"/>
            <w:r>
              <w:rPr>
                <w:rStyle w:val="normaltextrun"/>
                <w:rFonts w:ascii="Calibri" w:eastAsiaTheme="majorEastAsia" w:hAnsi="Calibri" w:cs="Calibri"/>
                <w:i/>
                <w:iCs/>
                <w:sz w:val="22"/>
                <w:szCs w:val="22"/>
                <w:lang w:val="es-CO"/>
              </w:rPr>
              <w:t>presuntos  incumplimientos</w:t>
            </w:r>
            <w:proofErr w:type="gramEnd"/>
            <w:r>
              <w:rPr>
                <w:rStyle w:val="normaltextrun"/>
                <w:rFonts w:ascii="Calibri" w:eastAsiaTheme="majorEastAsia" w:hAnsi="Calibri" w:cs="Calibri"/>
                <w:i/>
                <w:iCs/>
                <w:sz w:val="22"/>
                <w:szCs w:val="22"/>
                <w:lang w:val="es-CO"/>
              </w:rPr>
              <w:t xml:space="preserve"> de los ejecutores de obra.</w:t>
            </w:r>
          </w:p>
        </w:tc>
        <w:tc>
          <w:tcPr>
            <w:tcW w:w="3159" w:type="dxa"/>
            <w:tcBorders>
              <w:top w:val="single" w:sz="6" w:space="0" w:color="auto"/>
              <w:left w:val="single" w:sz="6" w:space="0" w:color="auto"/>
              <w:bottom w:val="single" w:sz="6" w:space="0" w:color="auto"/>
              <w:right w:val="single" w:sz="6" w:space="0" w:color="auto"/>
            </w:tcBorders>
            <w:hideMark/>
          </w:tcPr>
          <w:p w14:paraId="2E8B2EA4" w14:textId="2FE299B5"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lastRenderedPageBreak/>
              <w:t xml:space="preserve">La creación del acápite de 'Activación de Rutas Disciplinarias' </w:t>
            </w:r>
            <w:r>
              <w:rPr>
                <w:rStyle w:val="normaltextrun"/>
                <w:rFonts w:ascii="Calibri" w:eastAsiaTheme="majorEastAsia" w:hAnsi="Calibri" w:cs="Calibri"/>
                <w:i/>
                <w:iCs/>
                <w:sz w:val="22"/>
                <w:szCs w:val="22"/>
                <w:lang w:val="es-CO"/>
              </w:rPr>
              <w:lastRenderedPageBreak/>
              <w:t>se fundamenta en el Artículo 53 de la Ley 1952 de 2019, el cual extiende la potestad disciplinaria a los particulares que administran recursos públicos (ejecutores de vivienda). Con esta acción, el Ministerio instrumentaliza su deber de vigilancia y evita incurrir en la falta prevista en el Artículo 72 (omisión en el control de calidad y normas técnicas), garantizando que ante un incumplimiento de la NSR-10, se proceda compulsar copias a la Procuraduría conforme al deber de denuncia del Artículo 38, trasladando así la responsabilidad al verdadero ejecutor material de la falta</w:t>
            </w:r>
          </w:p>
        </w:tc>
        <w:tc>
          <w:tcPr>
            <w:tcW w:w="1788" w:type="dxa"/>
            <w:tcBorders>
              <w:top w:val="single" w:sz="6" w:space="0" w:color="auto"/>
              <w:left w:val="single" w:sz="6" w:space="0" w:color="auto"/>
              <w:bottom w:val="single" w:sz="6" w:space="0" w:color="auto"/>
              <w:right w:val="single" w:sz="6" w:space="0" w:color="auto"/>
            </w:tcBorders>
            <w:hideMark/>
          </w:tcPr>
          <w:p w14:paraId="2C890FF0" w14:textId="40E077DA"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lastRenderedPageBreak/>
              <w:t xml:space="preserve">Se están iniciando las labores </w:t>
            </w:r>
            <w:r>
              <w:rPr>
                <w:rStyle w:val="normaltextrun"/>
                <w:rFonts w:ascii="Calibri" w:eastAsiaTheme="majorEastAsia" w:hAnsi="Calibri" w:cs="Calibri"/>
                <w:i/>
                <w:iCs/>
                <w:sz w:val="22"/>
                <w:szCs w:val="22"/>
                <w:lang w:val="es-CO"/>
              </w:rPr>
              <w:lastRenderedPageBreak/>
              <w:t>necesarias para lograr la materialización de la acción de mejora.</w:t>
            </w:r>
          </w:p>
        </w:tc>
      </w:tr>
      <w:tr w:rsidR="00190CF3" w14:paraId="6FB27A2C" w14:textId="77777777" w:rsidTr="00190CF3">
        <w:trPr>
          <w:trHeight w:val="300"/>
        </w:trPr>
        <w:tc>
          <w:tcPr>
            <w:tcW w:w="2087" w:type="dxa"/>
            <w:tcBorders>
              <w:top w:val="single" w:sz="6" w:space="0" w:color="auto"/>
              <w:left w:val="single" w:sz="6" w:space="0" w:color="auto"/>
              <w:bottom w:val="single" w:sz="6" w:space="0" w:color="auto"/>
              <w:right w:val="single" w:sz="6" w:space="0" w:color="auto"/>
            </w:tcBorders>
            <w:hideMark/>
          </w:tcPr>
          <w:p w14:paraId="10F8CF51" w14:textId="36949207"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lastRenderedPageBreak/>
              <w:t>Hallazgo No. 14 MADR-. Vinculación de los entes parafiscales</w:t>
            </w:r>
          </w:p>
          <w:p w14:paraId="34360FF9" w14:textId="7CB2E2D1"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Agropecuarios en la implementación de la política de datos abiertos y la gobernanza sectorial de datos. Administrativo (A).</w:t>
            </w:r>
          </w:p>
        </w:tc>
        <w:tc>
          <w:tcPr>
            <w:tcW w:w="2464" w:type="dxa"/>
            <w:tcBorders>
              <w:top w:val="single" w:sz="6" w:space="0" w:color="auto"/>
              <w:left w:val="single" w:sz="6" w:space="0" w:color="auto"/>
              <w:bottom w:val="single" w:sz="6" w:space="0" w:color="auto"/>
              <w:right w:val="single" w:sz="6" w:space="0" w:color="auto"/>
            </w:tcBorders>
            <w:hideMark/>
          </w:tcPr>
          <w:p w14:paraId="190F8A1E" w14:textId="4F452BB6"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Fortalecer la articulación institucional con los entes parafiscales agropecuarios para su vinculación efectiva al modelo de gobernanza sectorial de datos y a la implementación de la política de datos abiertos del MADR.</w:t>
            </w:r>
          </w:p>
        </w:tc>
        <w:tc>
          <w:tcPr>
            <w:tcW w:w="3159" w:type="dxa"/>
            <w:tcBorders>
              <w:top w:val="single" w:sz="6" w:space="0" w:color="auto"/>
              <w:left w:val="single" w:sz="6" w:space="0" w:color="auto"/>
              <w:bottom w:val="single" w:sz="6" w:space="0" w:color="auto"/>
              <w:right w:val="single" w:sz="6" w:space="0" w:color="auto"/>
            </w:tcBorders>
            <w:hideMark/>
          </w:tcPr>
          <w:p w14:paraId="04325F65" w14:textId="232F769E"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Solicitar a la Dirección de Cadenas Agrícolas y Forestales y a la Dirección de Cadenas Pecuarias, Pesquera y Acuícolas la identificación y remisión de la información de los entes parafiscales agropecuarios publicada en la página oficial del MADR, para su publicación en el portal de datos abiertos, a cargo de la Oficina TIC.</w:t>
            </w:r>
          </w:p>
        </w:tc>
        <w:tc>
          <w:tcPr>
            <w:tcW w:w="1788" w:type="dxa"/>
            <w:tcBorders>
              <w:top w:val="single" w:sz="6" w:space="0" w:color="auto"/>
              <w:left w:val="single" w:sz="6" w:space="0" w:color="auto"/>
              <w:bottom w:val="single" w:sz="6" w:space="0" w:color="auto"/>
              <w:right w:val="single" w:sz="6" w:space="0" w:color="auto"/>
            </w:tcBorders>
            <w:hideMark/>
          </w:tcPr>
          <w:p w14:paraId="1B82458A" w14:textId="7E62B59E" w:rsidR="00190CF3" w:rsidRDefault="00190CF3" w:rsidP="00190CF3">
            <w:pPr>
              <w:pStyle w:val="paragraph"/>
              <w:spacing w:before="0" w:beforeAutospacing="0" w:after="0" w:afterAutospacing="0"/>
              <w:jc w:val="center"/>
              <w:textAlignment w:val="baseline"/>
              <w:rPr>
                <w:rFonts w:ascii="Segoe UI" w:hAnsi="Segoe UI" w:cs="Segoe UI"/>
                <w:sz w:val="18"/>
                <w:szCs w:val="18"/>
              </w:rPr>
            </w:pPr>
            <w:r>
              <w:rPr>
                <w:rStyle w:val="normaltextrun"/>
                <w:rFonts w:ascii="Calibri" w:eastAsiaTheme="majorEastAsia" w:hAnsi="Calibri" w:cs="Calibri"/>
                <w:i/>
                <w:iCs/>
                <w:sz w:val="22"/>
                <w:szCs w:val="22"/>
                <w:lang w:val="es-CO"/>
              </w:rPr>
              <w:t>Se remite a la Dirección de Cadenas Agrícolas y Forestales y a la Dirección de Cadenas Pecuarias, Pesquera y Acuícolas la solicitud de la información</w:t>
            </w:r>
          </w:p>
        </w:tc>
      </w:tr>
    </w:tbl>
    <w:p w14:paraId="734E5DB8" w14:textId="1A02F47C" w:rsidR="00655539" w:rsidRPr="00655539" w:rsidRDefault="00655539" w:rsidP="00655539">
      <w:pPr>
        <w:ind w:left="-567"/>
        <w:jc w:val="both"/>
        <w:rPr>
          <w:rFonts w:ascii="Arial" w:eastAsiaTheme="minorEastAsia" w:hAnsi="Arial" w:cs="Arial"/>
          <w:color w:val="000000" w:themeColor="text1"/>
          <w:sz w:val="22"/>
          <w:szCs w:val="22"/>
          <w:lang w:val="es-MX"/>
        </w:rPr>
      </w:pPr>
      <w:r w:rsidRPr="00655539">
        <w:rPr>
          <w:rFonts w:ascii="Arial" w:eastAsiaTheme="minorEastAsia" w:hAnsi="Arial" w:cs="Arial"/>
          <w:color w:val="000000" w:themeColor="text1"/>
          <w:sz w:val="22"/>
          <w:szCs w:val="22"/>
          <w:lang w:val="es-MX"/>
        </w:rPr>
        <w:t> </w:t>
      </w:r>
    </w:p>
    <w:p w14:paraId="21B23165" w14:textId="77777777" w:rsidR="00655539" w:rsidRPr="00655539" w:rsidRDefault="00655539" w:rsidP="00BC0F32">
      <w:pPr>
        <w:ind w:left="-567"/>
        <w:jc w:val="both"/>
        <w:rPr>
          <w:rFonts w:ascii="Arial" w:eastAsiaTheme="minorEastAsia" w:hAnsi="Arial" w:cs="Arial"/>
          <w:color w:val="000000" w:themeColor="text1"/>
          <w:sz w:val="22"/>
          <w:szCs w:val="22"/>
          <w:lang w:val="es-MX"/>
        </w:rPr>
      </w:pPr>
    </w:p>
    <w:p w14:paraId="0B35C799" w14:textId="2E0BE71B" w:rsidR="00CD0953" w:rsidRPr="00D30330" w:rsidRDefault="00CD0953" w:rsidP="00D30330">
      <w:pPr>
        <w:ind w:left="-567"/>
        <w:jc w:val="both"/>
        <w:rPr>
          <w:rFonts w:ascii="Arial" w:eastAsiaTheme="minorEastAsia" w:hAnsi="Arial" w:cs="Arial"/>
          <w:color w:val="000000" w:themeColor="text1"/>
          <w:sz w:val="22"/>
          <w:szCs w:val="22"/>
        </w:rPr>
      </w:pPr>
    </w:p>
    <w:p w14:paraId="2ECF099E" w14:textId="77777777" w:rsidR="00213B0C" w:rsidRDefault="00097640" w:rsidP="00213B0C">
      <w:pPr>
        <w:pStyle w:val="Ttulo1"/>
        <w:numPr>
          <w:ilvl w:val="0"/>
          <w:numId w:val="7"/>
        </w:numPr>
        <w:spacing w:before="0"/>
        <w:rPr>
          <w:rFonts w:ascii="Arial" w:hAnsi="Arial" w:cs="Arial"/>
          <w:b/>
          <w:bCs/>
          <w:color w:val="385623" w:themeColor="accent6" w:themeShade="80"/>
          <w:sz w:val="22"/>
          <w:szCs w:val="22"/>
        </w:rPr>
      </w:pPr>
      <w:bookmarkStart w:id="29" w:name="_Toc225874788"/>
      <w:r w:rsidRPr="00527F2F">
        <w:rPr>
          <w:rFonts w:ascii="Arial" w:hAnsi="Arial" w:cs="Arial"/>
          <w:b/>
          <w:bCs/>
          <w:color w:val="385623" w:themeColor="accent6" w:themeShade="80"/>
          <w:sz w:val="22"/>
          <w:szCs w:val="22"/>
        </w:rPr>
        <w:t>SUSTITUCIÓN DE BENEFICIARIOS</w:t>
      </w:r>
      <w:bookmarkEnd w:id="29"/>
    </w:p>
    <w:p w14:paraId="3B58A370" w14:textId="77777777" w:rsidR="00213B0C" w:rsidRDefault="00213B0C" w:rsidP="00527F2F">
      <w:pPr>
        <w:ind w:left="-567"/>
        <w:jc w:val="both"/>
        <w:rPr>
          <w:rFonts w:ascii="Arial" w:eastAsiaTheme="minorEastAsia" w:hAnsi="Arial" w:cs="Arial"/>
          <w:color w:val="000000" w:themeColor="text1"/>
          <w:sz w:val="22"/>
          <w:szCs w:val="22"/>
        </w:rPr>
      </w:pPr>
      <w:bookmarkStart w:id="30" w:name="_Toc91682914"/>
      <w:bookmarkStart w:id="31" w:name="_Toc98789011"/>
    </w:p>
    <w:p w14:paraId="7DC96547" w14:textId="77777777" w:rsidR="00213B0C" w:rsidRDefault="00213B0C" w:rsidP="00527F2F">
      <w:pPr>
        <w:ind w:left="-567"/>
        <w:jc w:val="both"/>
        <w:rPr>
          <w:rFonts w:ascii="Arial" w:eastAsiaTheme="minorEastAsia" w:hAnsi="Arial" w:cs="Arial"/>
          <w:color w:val="000000" w:themeColor="text1"/>
          <w:sz w:val="22"/>
          <w:szCs w:val="22"/>
        </w:rPr>
      </w:pPr>
    </w:p>
    <w:p w14:paraId="323F42F0" w14:textId="77777777" w:rsidR="00213B0C" w:rsidRPr="00213B0C" w:rsidRDefault="00213B0C" w:rsidP="00213B0C">
      <w:pPr>
        <w:pStyle w:val="Ttulo1"/>
        <w:spacing w:before="0"/>
        <w:ind w:left="360"/>
        <w:rPr>
          <w:rFonts w:ascii="Arial" w:hAnsi="Arial" w:cs="Arial"/>
          <w:b/>
          <w:bCs/>
          <w:color w:val="385623" w:themeColor="accent6" w:themeShade="80"/>
          <w:sz w:val="22"/>
          <w:szCs w:val="22"/>
        </w:rPr>
      </w:pPr>
      <w:r w:rsidRPr="00213B0C">
        <w:rPr>
          <w:rFonts w:ascii="Arial" w:eastAsiaTheme="minorEastAsia" w:hAnsi="Arial" w:cs="Arial"/>
          <w:color w:val="EE0000"/>
          <w:sz w:val="22"/>
          <w:szCs w:val="22"/>
        </w:rPr>
        <w:t>MARTHA Y NICOLAS</w:t>
      </w:r>
      <w:r w:rsidRPr="00213B0C">
        <w:rPr>
          <w:rFonts w:ascii="Arial" w:eastAsiaTheme="minorEastAsia" w:hAnsi="Arial" w:cs="Arial"/>
          <w:color w:val="000000" w:themeColor="text1"/>
          <w:sz w:val="22"/>
          <w:szCs w:val="22"/>
        </w:rPr>
        <w:t xml:space="preserve"> </w:t>
      </w:r>
    </w:p>
    <w:p w14:paraId="3FF7CBA0" w14:textId="77777777" w:rsidR="00213B0C" w:rsidRPr="00CB24C7" w:rsidRDefault="00213B0C" w:rsidP="00213B0C">
      <w:pPr>
        <w:rPr>
          <w:rFonts w:ascii="Arial" w:hAnsi="Arial" w:cs="Arial"/>
        </w:rPr>
      </w:pPr>
    </w:p>
    <w:p w14:paraId="3969A801" w14:textId="5282C4EC" w:rsidR="00527F2F" w:rsidRPr="00D30330" w:rsidRDefault="00646E6D" w:rsidP="00527F2F">
      <w:pPr>
        <w:ind w:left="-567"/>
        <w:jc w:val="both"/>
        <w:rPr>
          <w:rFonts w:ascii="Arial" w:eastAsiaTheme="minorEastAsia" w:hAnsi="Arial" w:cs="Arial"/>
          <w:color w:val="000000" w:themeColor="text1"/>
          <w:sz w:val="22"/>
          <w:szCs w:val="22"/>
        </w:rPr>
      </w:pPr>
      <w:r w:rsidRPr="00D30330">
        <w:rPr>
          <w:rFonts w:ascii="Arial" w:eastAsiaTheme="minorEastAsia" w:hAnsi="Arial" w:cs="Arial"/>
          <w:color w:val="000000" w:themeColor="text1"/>
          <w:sz w:val="22"/>
          <w:szCs w:val="22"/>
        </w:rPr>
        <w:t>Este apartado</w:t>
      </w:r>
      <w:r w:rsidR="00E362E8" w:rsidRPr="00D30330">
        <w:rPr>
          <w:rFonts w:ascii="Arial" w:eastAsiaTheme="minorEastAsia" w:hAnsi="Arial" w:cs="Arial"/>
          <w:color w:val="000000" w:themeColor="text1"/>
          <w:sz w:val="22"/>
          <w:szCs w:val="22"/>
        </w:rPr>
        <w:t xml:space="preserve"> </w:t>
      </w:r>
      <w:r w:rsidR="00112AC2" w:rsidRPr="00D30330">
        <w:rPr>
          <w:rFonts w:ascii="Arial" w:eastAsiaTheme="minorEastAsia" w:hAnsi="Arial" w:cs="Arial"/>
          <w:color w:val="000000" w:themeColor="text1"/>
          <w:sz w:val="22"/>
          <w:szCs w:val="22"/>
        </w:rPr>
        <w:t>realiza un recuento de la</w:t>
      </w:r>
      <w:r w:rsidR="00F20ABB" w:rsidRPr="00D30330">
        <w:rPr>
          <w:rFonts w:ascii="Arial" w:eastAsiaTheme="minorEastAsia" w:hAnsi="Arial" w:cs="Arial"/>
          <w:color w:val="000000" w:themeColor="text1"/>
          <w:sz w:val="22"/>
          <w:szCs w:val="22"/>
        </w:rPr>
        <w:t xml:space="preserve"> gestión de sustitución y exclusión de beneficiarios </w:t>
      </w:r>
      <w:r w:rsidR="00E362E8" w:rsidRPr="00D30330">
        <w:rPr>
          <w:rFonts w:ascii="Arial" w:eastAsiaTheme="minorEastAsia" w:hAnsi="Arial" w:cs="Arial"/>
          <w:color w:val="000000" w:themeColor="text1"/>
          <w:sz w:val="22"/>
          <w:szCs w:val="22"/>
        </w:rPr>
        <w:t xml:space="preserve">del Programa de Vivienda de Interés Social y Prioritario Rural – PVISPR con respecto a las solicitudes de sustitución presentadas ante el Ministerio de Agricultura y Desarrollo Rural, como Entidad Otorgante de los subsidios de vivienda </w:t>
      </w:r>
      <w:r w:rsidR="004C1901" w:rsidRPr="00D30330">
        <w:rPr>
          <w:rFonts w:ascii="Arial" w:eastAsiaTheme="minorEastAsia" w:hAnsi="Arial" w:cs="Arial"/>
          <w:color w:val="000000" w:themeColor="text1"/>
          <w:sz w:val="22"/>
          <w:szCs w:val="22"/>
        </w:rPr>
        <w:t>para las</w:t>
      </w:r>
      <w:r w:rsidR="00E362E8" w:rsidRPr="00D30330">
        <w:rPr>
          <w:rFonts w:ascii="Arial" w:eastAsiaTheme="minorEastAsia" w:hAnsi="Arial" w:cs="Arial"/>
          <w:color w:val="000000" w:themeColor="text1"/>
          <w:sz w:val="22"/>
          <w:szCs w:val="22"/>
        </w:rPr>
        <w:t xml:space="preserve"> vigencias 2018 y 2019, por parte de </w:t>
      </w:r>
      <w:proofErr w:type="spellStart"/>
      <w:r w:rsidR="00E362E8" w:rsidRPr="00D30330">
        <w:rPr>
          <w:rFonts w:ascii="Arial" w:eastAsiaTheme="minorEastAsia" w:hAnsi="Arial" w:cs="Arial"/>
          <w:color w:val="000000" w:themeColor="text1"/>
          <w:sz w:val="22"/>
          <w:szCs w:val="22"/>
        </w:rPr>
        <w:t>Fiduagraria</w:t>
      </w:r>
      <w:proofErr w:type="spellEnd"/>
      <w:r w:rsidR="00E362E8" w:rsidRPr="00D30330">
        <w:rPr>
          <w:rFonts w:ascii="Arial" w:eastAsiaTheme="minorEastAsia" w:hAnsi="Arial" w:cs="Arial"/>
          <w:color w:val="000000" w:themeColor="text1"/>
          <w:sz w:val="22"/>
          <w:szCs w:val="22"/>
        </w:rPr>
        <w:t xml:space="preserve"> S.A., </w:t>
      </w:r>
      <w:r w:rsidR="00C735F1" w:rsidRPr="00D30330">
        <w:rPr>
          <w:rFonts w:ascii="Arial" w:eastAsiaTheme="minorEastAsia" w:hAnsi="Arial" w:cs="Arial"/>
          <w:color w:val="000000" w:themeColor="text1"/>
          <w:sz w:val="22"/>
          <w:szCs w:val="22"/>
        </w:rPr>
        <w:t>antigua entidad operadora</w:t>
      </w:r>
      <w:r w:rsidR="00E362E8" w:rsidRPr="00D30330">
        <w:rPr>
          <w:rFonts w:ascii="Arial" w:eastAsiaTheme="minorEastAsia" w:hAnsi="Arial" w:cs="Arial"/>
          <w:color w:val="000000" w:themeColor="text1"/>
          <w:sz w:val="22"/>
          <w:szCs w:val="22"/>
        </w:rPr>
        <w:t xml:space="preserve">. </w:t>
      </w:r>
    </w:p>
    <w:p w14:paraId="6D3D69CD" w14:textId="77777777" w:rsidR="00A90541" w:rsidRPr="00527F2F" w:rsidRDefault="00A90541" w:rsidP="00CB24C7">
      <w:pPr>
        <w:jc w:val="both"/>
        <w:rPr>
          <w:rFonts w:ascii="Arial" w:hAnsi="Arial" w:cs="Arial"/>
          <w:color w:val="385623" w:themeColor="accent6" w:themeShade="80"/>
          <w:sz w:val="22"/>
          <w:szCs w:val="22"/>
        </w:rPr>
      </w:pPr>
    </w:p>
    <w:p w14:paraId="73698332" w14:textId="5F3A5D7F" w:rsidR="00097640" w:rsidRPr="00527F2F" w:rsidRDefault="00097640" w:rsidP="005F760B">
      <w:pPr>
        <w:pStyle w:val="Ttulo1"/>
        <w:numPr>
          <w:ilvl w:val="1"/>
          <w:numId w:val="7"/>
        </w:numPr>
        <w:spacing w:before="0"/>
        <w:jc w:val="both"/>
        <w:rPr>
          <w:rFonts w:ascii="Arial" w:hAnsi="Arial" w:cs="Arial"/>
          <w:b/>
          <w:bCs/>
          <w:color w:val="385623" w:themeColor="accent6" w:themeShade="80"/>
          <w:sz w:val="22"/>
          <w:szCs w:val="22"/>
          <w:lang w:val="es-ES_tradnl"/>
        </w:rPr>
      </w:pPr>
      <w:bookmarkStart w:id="32" w:name="_Toc225874789"/>
      <w:r w:rsidRPr="00527F2F">
        <w:rPr>
          <w:rFonts w:ascii="Arial" w:hAnsi="Arial" w:cs="Arial"/>
          <w:b/>
          <w:bCs/>
          <w:color w:val="385623" w:themeColor="accent6" w:themeShade="80"/>
          <w:sz w:val="22"/>
          <w:szCs w:val="22"/>
          <w:lang w:val="es-ES_tradnl"/>
        </w:rPr>
        <w:t xml:space="preserve">Resumen </w:t>
      </w:r>
      <w:r w:rsidR="00D83399" w:rsidRPr="00527F2F">
        <w:rPr>
          <w:rFonts w:ascii="Arial" w:hAnsi="Arial" w:cs="Arial"/>
          <w:b/>
          <w:bCs/>
          <w:color w:val="385623" w:themeColor="accent6" w:themeShade="80"/>
          <w:sz w:val="22"/>
          <w:szCs w:val="22"/>
          <w:lang w:val="es-ES_tradnl"/>
        </w:rPr>
        <w:t>G</w:t>
      </w:r>
      <w:r w:rsidRPr="00527F2F">
        <w:rPr>
          <w:rFonts w:ascii="Arial" w:hAnsi="Arial" w:cs="Arial"/>
          <w:b/>
          <w:bCs/>
          <w:color w:val="385623" w:themeColor="accent6" w:themeShade="80"/>
          <w:sz w:val="22"/>
          <w:szCs w:val="22"/>
          <w:lang w:val="es-ES_tradnl"/>
        </w:rPr>
        <w:t xml:space="preserve">eneral de las </w:t>
      </w:r>
      <w:r w:rsidR="00D83399" w:rsidRPr="00527F2F">
        <w:rPr>
          <w:rFonts w:ascii="Arial" w:hAnsi="Arial" w:cs="Arial"/>
          <w:b/>
          <w:bCs/>
          <w:color w:val="385623" w:themeColor="accent6" w:themeShade="80"/>
          <w:sz w:val="22"/>
          <w:szCs w:val="22"/>
          <w:lang w:val="es-ES_tradnl"/>
        </w:rPr>
        <w:t>S</w:t>
      </w:r>
      <w:r w:rsidRPr="00527F2F">
        <w:rPr>
          <w:rFonts w:ascii="Arial" w:hAnsi="Arial" w:cs="Arial"/>
          <w:b/>
          <w:bCs/>
          <w:color w:val="385623" w:themeColor="accent6" w:themeShade="80"/>
          <w:sz w:val="22"/>
          <w:szCs w:val="22"/>
          <w:lang w:val="es-ES_tradnl"/>
        </w:rPr>
        <w:t>ustituciones</w:t>
      </w:r>
      <w:bookmarkEnd w:id="30"/>
      <w:bookmarkEnd w:id="31"/>
      <w:bookmarkEnd w:id="32"/>
    </w:p>
    <w:p w14:paraId="31DB0602" w14:textId="77777777" w:rsidR="00097640" w:rsidRPr="00527F2F" w:rsidRDefault="00097640" w:rsidP="00CB24C7">
      <w:pPr>
        <w:rPr>
          <w:rFonts w:ascii="Arial" w:hAnsi="Arial" w:cs="Arial"/>
          <w:color w:val="385623" w:themeColor="accent6" w:themeShade="80"/>
          <w:sz w:val="22"/>
          <w:szCs w:val="22"/>
        </w:rPr>
      </w:pPr>
    </w:p>
    <w:p w14:paraId="3A82437C" w14:textId="0976D8AA" w:rsidR="00097640" w:rsidRPr="00527F2F" w:rsidRDefault="00097640" w:rsidP="005F760B">
      <w:pPr>
        <w:pStyle w:val="Ttulo1"/>
        <w:numPr>
          <w:ilvl w:val="2"/>
          <w:numId w:val="7"/>
        </w:numPr>
        <w:spacing w:before="0"/>
        <w:jc w:val="both"/>
        <w:rPr>
          <w:rFonts w:ascii="Arial" w:hAnsi="Arial" w:cs="Arial"/>
          <w:b/>
          <w:bCs/>
          <w:color w:val="385623" w:themeColor="accent6" w:themeShade="80"/>
          <w:sz w:val="22"/>
          <w:szCs w:val="22"/>
          <w:lang w:val="es-ES_tradnl"/>
        </w:rPr>
      </w:pPr>
      <w:bookmarkStart w:id="33" w:name="_Toc91682915"/>
      <w:bookmarkStart w:id="34" w:name="_Toc98789012"/>
      <w:bookmarkStart w:id="35" w:name="_Toc225874790"/>
      <w:r w:rsidRPr="00527F2F">
        <w:rPr>
          <w:rFonts w:ascii="Arial" w:hAnsi="Arial" w:cs="Arial"/>
          <w:b/>
          <w:bCs/>
          <w:color w:val="385623" w:themeColor="accent6" w:themeShade="80"/>
          <w:sz w:val="22"/>
          <w:szCs w:val="22"/>
          <w:lang w:val="es-ES_tradnl"/>
        </w:rPr>
        <w:lastRenderedPageBreak/>
        <w:t>Antecedentes</w:t>
      </w:r>
      <w:bookmarkEnd w:id="33"/>
      <w:bookmarkEnd w:id="34"/>
      <w:bookmarkEnd w:id="35"/>
      <w:r w:rsidRPr="00527F2F">
        <w:rPr>
          <w:rFonts w:ascii="Arial" w:hAnsi="Arial" w:cs="Arial"/>
          <w:b/>
          <w:bCs/>
          <w:color w:val="385623" w:themeColor="accent6" w:themeShade="80"/>
          <w:sz w:val="22"/>
          <w:szCs w:val="22"/>
          <w:lang w:val="es-ES_tradnl"/>
        </w:rPr>
        <w:t xml:space="preserve"> </w:t>
      </w:r>
    </w:p>
    <w:p w14:paraId="2F629EA4" w14:textId="77777777" w:rsidR="00966351" w:rsidRPr="00D30330" w:rsidRDefault="00966351" w:rsidP="00D30330">
      <w:pPr>
        <w:ind w:left="-567"/>
        <w:jc w:val="both"/>
        <w:rPr>
          <w:rFonts w:ascii="Arial" w:eastAsiaTheme="minorEastAsia" w:hAnsi="Arial" w:cs="Arial"/>
          <w:color w:val="000000" w:themeColor="text1"/>
          <w:sz w:val="22"/>
          <w:szCs w:val="22"/>
        </w:rPr>
      </w:pPr>
    </w:p>
    <w:p w14:paraId="568C5B43" w14:textId="77777777" w:rsidR="00E362E8" w:rsidRPr="00D30330" w:rsidRDefault="00E362E8" w:rsidP="00D30330">
      <w:pPr>
        <w:ind w:left="-567"/>
        <w:jc w:val="both"/>
        <w:rPr>
          <w:rFonts w:ascii="Arial" w:eastAsiaTheme="minorEastAsia" w:hAnsi="Arial" w:cs="Arial"/>
          <w:color w:val="000000" w:themeColor="text1"/>
          <w:sz w:val="22"/>
          <w:szCs w:val="22"/>
        </w:rPr>
      </w:pPr>
      <w:r w:rsidRPr="00D30330">
        <w:rPr>
          <w:rFonts w:ascii="Arial" w:eastAsiaTheme="minorEastAsia" w:hAnsi="Arial" w:cs="Arial"/>
          <w:color w:val="000000" w:themeColor="text1"/>
          <w:sz w:val="22"/>
          <w:szCs w:val="22"/>
        </w:rPr>
        <w:t xml:space="preserve">El Reglamento Operativo del otorgamiento del subsidio familiar de vivienda de interés social y prioritario rural, contempla la posibilidad de realizar sustituciones de conformidad con lo señalado en el artículo 2.2.1.5.3.3 del Decreto 1071 de 2015, “la sustitución o exclusión de beneficiarios podrá efectuarse en cualquier momento, desde la fase de otorgamiento y hasta antes de haberse iniciado la ejecución de la obra de la vivienda al hogar beneficiario” por las siguientes causales: </w:t>
      </w:r>
    </w:p>
    <w:p w14:paraId="6195F8CC" w14:textId="77777777" w:rsidR="00E362E8" w:rsidRPr="00CB24C7" w:rsidRDefault="00E362E8" w:rsidP="00CB24C7">
      <w:pPr>
        <w:autoSpaceDE w:val="0"/>
        <w:autoSpaceDN w:val="0"/>
        <w:adjustRightInd w:val="0"/>
        <w:jc w:val="both"/>
        <w:rPr>
          <w:rFonts w:ascii="Arial" w:hAnsi="Arial" w:cs="Arial"/>
          <w:sz w:val="22"/>
          <w:szCs w:val="22"/>
        </w:rPr>
      </w:pPr>
    </w:p>
    <w:p w14:paraId="517693AF" w14:textId="77777777" w:rsidR="00E362E8" w:rsidRPr="00CB24C7" w:rsidRDefault="00E362E8" w:rsidP="005F760B">
      <w:pPr>
        <w:pStyle w:val="Prrafodelista"/>
        <w:numPr>
          <w:ilvl w:val="0"/>
          <w:numId w:val="1"/>
        </w:numPr>
        <w:autoSpaceDE w:val="0"/>
        <w:autoSpaceDN w:val="0"/>
        <w:adjustRightInd w:val="0"/>
        <w:jc w:val="both"/>
        <w:rPr>
          <w:rFonts w:ascii="Arial" w:hAnsi="Arial" w:cs="Arial"/>
          <w:sz w:val="22"/>
          <w:szCs w:val="22"/>
        </w:rPr>
      </w:pPr>
      <w:r w:rsidRPr="00CB24C7">
        <w:rPr>
          <w:rFonts w:ascii="Arial" w:hAnsi="Arial" w:cs="Arial"/>
          <w:sz w:val="22"/>
          <w:szCs w:val="22"/>
        </w:rPr>
        <w:t>Inviabilidad en la ejecución de la obra, informado a la Entidad Otorgante por la Entidad Operadora con soporte en el diagnóstico integral realizado por ésta última.</w:t>
      </w:r>
    </w:p>
    <w:p w14:paraId="4D0C77CA" w14:textId="77777777" w:rsidR="00E362E8" w:rsidRPr="00CB24C7" w:rsidRDefault="00E362E8" w:rsidP="005F760B">
      <w:pPr>
        <w:pStyle w:val="Prrafodelista"/>
        <w:numPr>
          <w:ilvl w:val="0"/>
          <w:numId w:val="1"/>
        </w:numPr>
        <w:autoSpaceDE w:val="0"/>
        <w:autoSpaceDN w:val="0"/>
        <w:adjustRightInd w:val="0"/>
        <w:jc w:val="both"/>
        <w:rPr>
          <w:rFonts w:ascii="Arial" w:hAnsi="Arial" w:cs="Arial"/>
          <w:sz w:val="22"/>
          <w:szCs w:val="22"/>
        </w:rPr>
      </w:pPr>
      <w:r w:rsidRPr="00CB24C7">
        <w:rPr>
          <w:rFonts w:ascii="Arial" w:hAnsi="Arial" w:cs="Arial"/>
          <w:sz w:val="22"/>
          <w:szCs w:val="22"/>
        </w:rPr>
        <w:t>La renuncia voluntaria e irrevocable del Subsidio de Vivienda de Interés Social y Prioritario Rural expresada oficiosamente por el jefe de hogar y su cónyuge o compañero permanente.</w:t>
      </w:r>
    </w:p>
    <w:p w14:paraId="725C6AB4" w14:textId="77777777" w:rsidR="00E362E8" w:rsidRPr="00CB24C7" w:rsidRDefault="00E362E8" w:rsidP="005F760B">
      <w:pPr>
        <w:pStyle w:val="Prrafodelista"/>
        <w:numPr>
          <w:ilvl w:val="0"/>
          <w:numId w:val="1"/>
        </w:numPr>
        <w:autoSpaceDE w:val="0"/>
        <w:autoSpaceDN w:val="0"/>
        <w:adjustRightInd w:val="0"/>
        <w:jc w:val="both"/>
        <w:rPr>
          <w:rFonts w:ascii="Arial" w:hAnsi="Arial" w:cs="Arial"/>
          <w:sz w:val="22"/>
          <w:szCs w:val="22"/>
        </w:rPr>
      </w:pPr>
      <w:r w:rsidRPr="00CB24C7">
        <w:rPr>
          <w:rFonts w:ascii="Arial" w:hAnsi="Arial" w:cs="Arial"/>
          <w:sz w:val="22"/>
          <w:szCs w:val="22"/>
        </w:rPr>
        <w:t>Que el hogar presente alguna de las siguientes circunstancias: haber sido beneficiario de otro Subsidio Familiar de Vivienda de Interés Social y Prioritario Rural, no encontrarse ubicado en el Municipio de intervención en el cual fue otorgado o incumplir alguno de los requisitos exigidos para iniciar la ejecución del proyecto, entre otros, y se generen por un hecho imputable a dicho hogar beneficiario.</w:t>
      </w:r>
    </w:p>
    <w:p w14:paraId="5E7671ED" w14:textId="77777777" w:rsidR="00E362E8" w:rsidRPr="00CB24C7" w:rsidRDefault="00E362E8" w:rsidP="005F760B">
      <w:pPr>
        <w:pStyle w:val="Prrafodelista"/>
        <w:numPr>
          <w:ilvl w:val="0"/>
          <w:numId w:val="1"/>
        </w:numPr>
        <w:autoSpaceDE w:val="0"/>
        <w:autoSpaceDN w:val="0"/>
        <w:adjustRightInd w:val="0"/>
        <w:jc w:val="both"/>
        <w:rPr>
          <w:rFonts w:ascii="Arial" w:hAnsi="Arial" w:cs="Arial"/>
          <w:sz w:val="22"/>
          <w:szCs w:val="22"/>
        </w:rPr>
      </w:pPr>
      <w:r w:rsidRPr="00CB24C7">
        <w:rPr>
          <w:rFonts w:ascii="Arial" w:hAnsi="Arial" w:cs="Arial"/>
          <w:sz w:val="22"/>
          <w:szCs w:val="22"/>
        </w:rPr>
        <w:t>La imprecisión o inconsistencia en la documentación aportada por la Entidad Oferente respecto de la situación y/o condición de los hogares beneficiarios. En estos eventos, en caso de ser necesario se deberán poner en conocimiento de la autoridad competente.</w:t>
      </w:r>
    </w:p>
    <w:p w14:paraId="00FD78BA" w14:textId="6B3BBC07" w:rsidR="00E362E8" w:rsidRDefault="00E362E8" w:rsidP="005F760B">
      <w:pPr>
        <w:pStyle w:val="Prrafodelista"/>
        <w:numPr>
          <w:ilvl w:val="0"/>
          <w:numId w:val="1"/>
        </w:numPr>
        <w:autoSpaceDE w:val="0"/>
        <w:autoSpaceDN w:val="0"/>
        <w:adjustRightInd w:val="0"/>
        <w:jc w:val="both"/>
        <w:rPr>
          <w:rFonts w:ascii="Arial" w:hAnsi="Arial" w:cs="Arial"/>
          <w:sz w:val="22"/>
          <w:szCs w:val="22"/>
        </w:rPr>
      </w:pPr>
      <w:r w:rsidRPr="00CB24C7">
        <w:rPr>
          <w:rFonts w:ascii="Arial" w:hAnsi="Arial" w:cs="Arial"/>
          <w:sz w:val="22"/>
          <w:szCs w:val="22"/>
        </w:rPr>
        <w:t>Las demás que determine la ley o el presente reglamento.</w:t>
      </w:r>
    </w:p>
    <w:p w14:paraId="69D52E9A" w14:textId="77777777" w:rsidR="00966351" w:rsidRPr="00953349" w:rsidRDefault="00966351" w:rsidP="00953349">
      <w:pPr>
        <w:autoSpaceDE w:val="0"/>
        <w:autoSpaceDN w:val="0"/>
        <w:adjustRightInd w:val="0"/>
        <w:jc w:val="both"/>
        <w:rPr>
          <w:rFonts w:ascii="Arial" w:hAnsi="Arial" w:cs="Arial"/>
          <w:sz w:val="22"/>
          <w:szCs w:val="22"/>
        </w:rPr>
      </w:pPr>
    </w:p>
    <w:p w14:paraId="58D112B6" w14:textId="71E230E2" w:rsidR="00097640" w:rsidRPr="00527F2F" w:rsidRDefault="00097640" w:rsidP="005F760B">
      <w:pPr>
        <w:pStyle w:val="Ttulo1"/>
        <w:numPr>
          <w:ilvl w:val="2"/>
          <w:numId w:val="7"/>
        </w:numPr>
        <w:spacing w:before="0"/>
        <w:jc w:val="both"/>
        <w:rPr>
          <w:rFonts w:ascii="Arial" w:hAnsi="Arial" w:cs="Arial"/>
          <w:b/>
          <w:bCs/>
          <w:color w:val="385623" w:themeColor="accent6" w:themeShade="80"/>
          <w:sz w:val="22"/>
          <w:szCs w:val="22"/>
          <w:lang w:val="es-ES_tradnl"/>
        </w:rPr>
      </w:pPr>
      <w:bookmarkStart w:id="36" w:name="_Toc91682916"/>
      <w:bookmarkStart w:id="37" w:name="_Toc98789013"/>
      <w:bookmarkStart w:id="38" w:name="_Toc225874791"/>
      <w:r w:rsidRPr="00527F2F">
        <w:rPr>
          <w:rFonts w:ascii="Arial" w:hAnsi="Arial" w:cs="Arial"/>
          <w:b/>
          <w:bCs/>
          <w:color w:val="385623" w:themeColor="accent6" w:themeShade="80"/>
          <w:sz w:val="22"/>
          <w:szCs w:val="22"/>
          <w:lang w:val="es-ES_tradnl"/>
        </w:rPr>
        <w:t xml:space="preserve">Cifras </w:t>
      </w:r>
      <w:r w:rsidR="00D83399" w:rsidRPr="00527F2F">
        <w:rPr>
          <w:rFonts w:ascii="Arial" w:hAnsi="Arial" w:cs="Arial"/>
          <w:b/>
          <w:bCs/>
          <w:color w:val="385623" w:themeColor="accent6" w:themeShade="80"/>
          <w:sz w:val="22"/>
          <w:szCs w:val="22"/>
          <w:lang w:val="es-ES_tradnl"/>
        </w:rPr>
        <w:t>G</w:t>
      </w:r>
      <w:r w:rsidRPr="00527F2F">
        <w:rPr>
          <w:rFonts w:ascii="Arial" w:hAnsi="Arial" w:cs="Arial"/>
          <w:b/>
          <w:bCs/>
          <w:color w:val="385623" w:themeColor="accent6" w:themeShade="80"/>
          <w:sz w:val="22"/>
          <w:szCs w:val="22"/>
          <w:lang w:val="es-ES_tradnl"/>
        </w:rPr>
        <w:t>enerales</w:t>
      </w:r>
      <w:bookmarkEnd w:id="36"/>
      <w:bookmarkEnd w:id="37"/>
      <w:bookmarkEnd w:id="38"/>
      <w:r w:rsidRPr="00527F2F">
        <w:rPr>
          <w:rFonts w:ascii="Arial" w:hAnsi="Arial" w:cs="Arial"/>
          <w:b/>
          <w:bCs/>
          <w:color w:val="385623" w:themeColor="accent6" w:themeShade="80"/>
          <w:sz w:val="22"/>
          <w:szCs w:val="22"/>
          <w:lang w:val="es-ES_tradnl"/>
        </w:rPr>
        <w:t xml:space="preserve"> </w:t>
      </w:r>
    </w:p>
    <w:p w14:paraId="67C7B318" w14:textId="77777777" w:rsidR="00097640" w:rsidRPr="00CB24C7" w:rsidRDefault="00097640" w:rsidP="00CB24C7">
      <w:pPr>
        <w:rPr>
          <w:rFonts w:ascii="Arial" w:eastAsiaTheme="majorEastAsia" w:hAnsi="Arial" w:cs="Arial"/>
          <w:color w:val="4472C4" w:themeColor="accent1"/>
          <w:sz w:val="22"/>
          <w:szCs w:val="22"/>
        </w:rPr>
      </w:pPr>
    </w:p>
    <w:p w14:paraId="32421B71" w14:textId="58A09F77" w:rsidR="00A4599F" w:rsidRPr="00A4599F" w:rsidRDefault="00A4599F" w:rsidP="00A4599F">
      <w:pPr>
        <w:ind w:left="-567"/>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 xml:space="preserve">Como cierre de la vigencia 2025 </w:t>
      </w:r>
      <w:r w:rsidRPr="00A4599F">
        <w:rPr>
          <w:rFonts w:ascii="Arial" w:eastAsiaTheme="minorEastAsia" w:hAnsi="Arial" w:cs="Arial"/>
          <w:color w:val="000000" w:themeColor="text1"/>
          <w:sz w:val="22"/>
          <w:szCs w:val="22"/>
        </w:rPr>
        <w:t>Para el periodo de 2025 se realizaron los siguientes avances con respecto a los subsidios de 2018 y 2019 en casos prioritarios requeridos por FIDUAGRARIA a través de</w:t>
      </w:r>
      <w:r>
        <w:rPr>
          <w:rFonts w:ascii="Arial" w:eastAsiaTheme="minorEastAsia" w:hAnsi="Arial" w:cs="Arial"/>
          <w:color w:val="000000" w:themeColor="text1"/>
          <w:sz w:val="22"/>
          <w:szCs w:val="22"/>
        </w:rPr>
        <w:t xml:space="preserve"> oficios de radicación. </w:t>
      </w:r>
      <w:r w:rsidRPr="00A4599F">
        <w:rPr>
          <w:rFonts w:ascii="Arial" w:eastAsiaTheme="minorEastAsia" w:hAnsi="Arial" w:cs="Arial"/>
          <w:color w:val="000000" w:themeColor="text1"/>
          <w:sz w:val="22"/>
          <w:szCs w:val="22"/>
        </w:rPr>
        <w:t xml:space="preserve">  </w:t>
      </w:r>
    </w:p>
    <w:p w14:paraId="4BC1E8C9" w14:textId="640D647B" w:rsidR="00A4599F" w:rsidRPr="00A4599F" w:rsidRDefault="00A4599F" w:rsidP="00A4599F">
      <w:pPr>
        <w:jc w:val="both"/>
        <w:rPr>
          <w:rFonts w:ascii="Arial" w:eastAsiaTheme="minorEastAsia" w:hAnsi="Arial" w:cs="Arial"/>
          <w:color w:val="000000" w:themeColor="text1"/>
          <w:sz w:val="22"/>
          <w:szCs w:val="22"/>
        </w:rPr>
      </w:pPr>
    </w:p>
    <w:p w14:paraId="3BE25C6D" w14:textId="73DDDE81" w:rsidR="00A4599F" w:rsidRDefault="00072BDA" w:rsidP="00A4599F">
      <w:pPr>
        <w:ind w:left="-567"/>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Para los s</w:t>
      </w:r>
      <w:r w:rsidR="00A4599F" w:rsidRPr="00A4599F">
        <w:rPr>
          <w:rFonts w:ascii="Arial" w:eastAsiaTheme="minorEastAsia" w:hAnsi="Arial" w:cs="Arial"/>
          <w:color w:val="000000" w:themeColor="text1"/>
          <w:sz w:val="22"/>
          <w:szCs w:val="22"/>
        </w:rPr>
        <w:t xml:space="preserve">ubsidios </w:t>
      </w:r>
      <w:r>
        <w:rPr>
          <w:rFonts w:ascii="Arial" w:eastAsiaTheme="minorEastAsia" w:hAnsi="Arial" w:cs="Arial"/>
          <w:color w:val="000000" w:themeColor="text1"/>
          <w:sz w:val="22"/>
          <w:szCs w:val="22"/>
        </w:rPr>
        <w:t xml:space="preserve">otorgados en el año </w:t>
      </w:r>
      <w:r w:rsidR="00A4599F" w:rsidRPr="00A4599F">
        <w:rPr>
          <w:rFonts w:ascii="Arial" w:eastAsiaTheme="minorEastAsia" w:hAnsi="Arial" w:cs="Arial"/>
          <w:color w:val="000000" w:themeColor="text1"/>
          <w:sz w:val="22"/>
          <w:szCs w:val="22"/>
        </w:rPr>
        <w:t>2018 se realizaron las gestiones pertinentes de elaboración de fichas técnicas, revisión de expedientes y proyecci</w:t>
      </w:r>
      <w:r>
        <w:rPr>
          <w:rFonts w:ascii="Arial" w:eastAsiaTheme="minorEastAsia" w:hAnsi="Arial" w:cs="Arial"/>
          <w:color w:val="000000" w:themeColor="text1"/>
          <w:sz w:val="22"/>
          <w:szCs w:val="22"/>
        </w:rPr>
        <w:t>ó</w:t>
      </w:r>
      <w:r w:rsidR="00A4599F" w:rsidRPr="00A4599F">
        <w:rPr>
          <w:rFonts w:ascii="Arial" w:eastAsiaTheme="minorEastAsia" w:hAnsi="Arial" w:cs="Arial"/>
          <w:color w:val="000000" w:themeColor="text1"/>
          <w:sz w:val="22"/>
          <w:szCs w:val="22"/>
        </w:rPr>
        <w:t>n a respuestas de requerimientos realizados por FIDUAGRARIA</w:t>
      </w:r>
      <w:r>
        <w:rPr>
          <w:rFonts w:ascii="Arial" w:eastAsiaTheme="minorEastAsia" w:hAnsi="Arial" w:cs="Arial"/>
          <w:color w:val="000000" w:themeColor="text1"/>
          <w:sz w:val="22"/>
          <w:szCs w:val="22"/>
        </w:rPr>
        <w:t xml:space="preserve">, como soporte se acompañan </w:t>
      </w:r>
      <w:r w:rsidR="00A4599F" w:rsidRPr="00A4599F">
        <w:rPr>
          <w:rFonts w:ascii="Arial" w:eastAsiaTheme="minorEastAsia" w:hAnsi="Arial" w:cs="Arial"/>
          <w:color w:val="000000" w:themeColor="text1"/>
          <w:sz w:val="22"/>
          <w:szCs w:val="22"/>
        </w:rPr>
        <w:t>83 procesos revisados y contestados</w:t>
      </w:r>
      <w:r>
        <w:rPr>
          <w:rFonts w:ascii="Arial" w:eastAsiaTheme="minorEastAsia" w:hAnsi="Arial" w:cs="Arial"/>
          <w:color w:val="000000" w:themeColor="text1"/>
          <w:sz w:val="22"/>
          <w:szCs w:val="22"/>
        </w:rPr>
        <w:t xml:space="preserve">. </w:t>
      </w:r>
    </w:p>
    <w:p w14:paraId="2891636D" w14:textId="77777777" w:rsidR="00072BDA" w:rsidRDefault="00072BDA" w:rsidP="00A4599F">
      <w:pPr>
        <w:ind w:left="-567"/>
        <w:jc w:val="both"/>
        <w:rPr>
          <w:rFonts w:ascii="Arial" w:eastAsiaTheme="minorEastAsia" w:hAnsi="Arial" w:cs="Arial"/>
          <w:color w:val="000000" w:themeColor="text1"/>
          <w:sz w:val="22"/>
          <w:szCs w:val="22"/>
        </w:rPr>
      </w:pPr>
    </w:p>
    <w:p w14:paraId="4C80C792" w14:textId="3E36503E" w:rsidR="00921702" w:rsidRPr="00921702" w:rsidRDefault="00921702" w:rsidP="00921702">
      <w:pPr>
        <w:ind w:left="-567"/>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 xml:space="preserve">Para los subsidios otorgados durante la vigencia </w:t>
      </w:r>
      <w:r w:rsidRPr="00921702">
        <w:rPr>
          <w:rFonts w:ascii="Arial" w:eastAsiaTheme="minorEastAsia" w:hAnsi="Arial" w:cs="Arial"/>
          <w:color w:val="000000" w:themeColor="text1"/>
          <w:sz w:val="22"/>
          <w:szCs w:val="22"/>
        </w:rPr>
        <w:t>2019 se elaboración fichas técnicas, revisión de expedientes y proyecci</w:t>
      </w:r>
      <w:r>
        <w:rPr>
          <w:rFonts w:ascii="Arial" w:eastAsiaTheme="minorEastAsia" w:hAnsi="Arial" w:cs="Arial"/>
          <w:color w:val="000000" w:themeColor="text1"/>
          <w:sz w:val="22"/>
          <w:szCs w:val="22"/>
        </w:rPr>
        <w:t>ó</w:t>
      </w:r>
      <w:r w:rsidRPr="00921702">
        <w:rPr>
          <w:rFonts w:ascii="Arial" w:eastAsiaTheme="minorEastAsia" w:hAnsi="Arial" w:cs="Arial"/>
          <w:color w:val="000000" w:themeColor="text1"/>
          <w:sz w:val="22"/>
          <w:szCs w:val="22"/>
        </w:rPr>
        <w:t>n a respuestas de requerimientos realizados por FIDUAGRARIA</w:t>
      </w:r>
      <w:r>
        <w:rPr>
          <w:rFonts w:ascii="Arial" w:eastAsiaTheme="minorEastAsia" w:hAnsi="Arial" w:cs="Arial"/>
          <w:color w:val="000000" w:themeColor="text1"/>
          <w:sz w:val="22"/>
          <w:szCs w:val="22"/>
        </w:rPr>
        <w:t xml:space="preserve"> y como soporte se acompaña la </w:t>
      </w:r>
      <w:r w:rsidRPr="00921702">
        <w:rPr>
          <w:rFonts w:ascii="Arial" w:eastAsiaTheme="minorEastAsia" w:hAnsi="Arial" w:cs="Arial"/>
          <w:color w:val="000000" w:themeColor="text1"/>
          <w:sz w:val="22"/>
          <w:szCs w:val="22"/>
        </w:rPr>
        <w:t>tabla de 22 procesos revisados y debidamente contestados</w:t>
      </w:r>
      <w:r>
        <w:rPr>
          <w:rFonts w:ascii="Arial" w:eastAsiaTheme="minorEastAsia" w:hAnsi="Arial" w:cs="Arial"/>
          <w:color w:val="000000" w:themeColor="text1"/>
          <w:sz w:val="22"/>
          <w:szCs w:val="22"/>
        </w:rPr>
        <w:t xml:space="preserve">. </w:t>
      </w:r>
    </w:p>
    <w:p w14:paraId="10FEA1DD" w14:textId="77777777" w:rsidR="00A4599F" w:rsidRDefault="00A4599F" w:rsidP="00D30330">
      <w:pPr>
        <w:ind w:left="-567"/>
        <w:jc w:val="both"/>
        <w:rPr>
          <w:rFonts w:ascii="Arial" w:eastAsiaTheme="minorEastAsia" w:hAnsi="Arial" w:cs="Arial"/>
          <w:color w:val="000000" w:themeColor="text1"/>
          <w:sz w:val="22"/>
          <w:szCs w:val="22"/>
        </w:rPr>
      </w:pPr>
    </w:p>
    <w:p w14:paraId="0F8F672A" w14:textId="76009FC8" w:rsidR="0066474F" w:rsidRDefault="00E362E8" w:rsidP="00D30330">
      <w:pPr>
        <w:ind w:left="-567"/>
        <w:jc w:val="both"/>
        <w:rPr>
          <w:rFonts w:ascii="Arial" w:eastAsiaTheme="minorEastAsia" w:hAnsi="Arial" w:cs="Arial"/>
          <w:color w:val="000000" w:themeColor="text1"/>
          <w:sz w:val="22"/>
          <w:szCs w:val="22"/>
        </w:rPr>
      </w:pPr>
      <w:r w:rsidRPr="00D30330">
        <w:rPr>
          <w:rFonts w:ascii="Arial" w:eastAsiaTheme="minorEastAsia" w:hAnsi="Arial" w:cs="Arial"/>
          <w:color w:val="000000" w:themeColor="text1"/>
          <w:sz w:val="22"/>
          <w:szCs w:val="22"/>
        </w:rPr>
        <w:t>A la fecha de elaboración del presente informe,</w:t>
      </w:r>
      <w:r w:rsidR="0066474F" w:rsidRPr="00D30330">
        <w:rPr>
          <w:rFonts w:ascii="Arial" w:eastAsiaTheme="minorEastAsia" w:hAnsi="Arial" w:cs="Arial"/>
          <w:color w:val="000000" w:themeColor="text1"/>
          <w:sz w:val="22"/>
          <w:szCs w:val="22"/>
        </w:rPr>
        <w:t xml:space="preserve"> se registraron en este último periodo los siguientes actos administrativos de sustitución y exclusión: </w:t>
      </w:r>
    </w:p>
    <w:p w14:paraId="5B922A5C" w14:textId="77777777" w:rsidR="000625C5" w:rsidRDefault="000625C5" w:rsidP="00D30330">
      <w:pPr>
        <w:ind w:left="-567"/>
        <w:jc w:val="both"/>
        <w:rPr>
          <w:rFonts w:ascii="Arial" w:eastAsiaTheme="minorEastAsia" w:hAnsi="Arial" w:cs="Arial"/>
          <w:color w:val="000000" w:themeColor="text1"/>
          <w:sz w:val="22"/>
          <w:szCs w:val="22"/>
        </w:rPr>
      </w:pPr>
    </w:p>
    <w:tbl>
      <w:tblPr>
        <w:tblW w:w="0" w:type="dxa"/>
        <w:tblInd w:w="-57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95"/>
        <w:gridCol w:w="2295"/>
        <w:gridCol w:w="2295"/>
        <w:gridCol w:w="2475"/>
      </w:tblGrid>
      <w:tr w:rsidR="000625C5" w:rsidRPr="000625C5" w14:paraId="31014FDC" w14:textId="77777777">
        <w:trPr>
          <w:trHeight w:val="300"/>
        </w:trPr>
        <w:tc>
          <w:tcPr>
            <w:tcW w:w="2295" w:type="dxa"/>
            <w:tcBorders>
              <w:top w:val="single" w:sz="6" w:space="0" w:color="auto"/>
              <w:left w:val="single" w:sz="6" w:space="0" w:color="auto"/>
              <w:bottom w:val="single" w:sz="6" w:space="0" w:color="auto"/>
              <w:right w:val="single" w:sz="6" w:space="0" w:color="auto"/>
            </w:tcBorders>
            <w:hideMark/>
          </w:tcPr>
          <w:p w14:paraId="12050704" w14:textId="7BC471F8"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Resolución</w:t>
            </w:r>
          </w:p>
        </w:tc>
        <w:tc>
          <w:tcPr>
            <w:tcW w:w="2295" w:type="dxa"/>
            <w:tcBorders>
              <w:top w:val="single" w:sz="6" w:space="0" w:color="auto"/>
              <w:left w:val="single" w:sz="6" w:space="0" w:color="auto"/>
              <w:bottom w:val="single" w:sz="6" w:space="0" w:color="auto"/>
              <w:right w:val="single" w:sz="6" w:space="0" w:color="auto"/>
            </w:tcBorders>
            <w:hideMark/>
          </w:tcPr>
          <w:p w14:paraId="65EAD0BC" w14:textId="68BEC2C2"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Numeración</w:t>
            </w:r>
          </w:p>
        </w:tc>
        <w:tc>
          <w:tcPr>
            <w:tcW w:w="2295" w:type="dxa"/>
            <w:tcBorders>
              <w:top w:val="single" w:sz="6" w:space="0" w:color="auto"/>
              <w:left w:val="single" w:sz="6" w:space="0" w:color="auto"/>
              <w:bottom w:val="single" w:sz="6" w:space="0" w:color="auto"/>
              <w:right w:val="single" w:sz="6" w:space="0" w:color="auto"/>
            </w:tcBorders>
            <w:hideMark/>
          </w:tcPr>
          <w:p w14:paraId="7C56A38B" w14:textId="11259FA0"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Fecha</w:t>
            </w:r>
          </w:p>
        </w:tc>
        <w:tc>
          <w:tcPr>
            <w:tcW w:w="2475" w:type="dxa"/>
            <w:tcBorders>
              <w:top w:val="single" w:sz="6" w:space="0" w:color="auto"/>
              <w:left w:val="single" w:sz="6" w:space="0" w:color="auto"/>
              <w:bottom w:val="single" w:sz="6" w:space="0" w:color="auto"/>
              <w:right w:val="single" w:sz="6" w:space="0" w:color="auto"/>
            </w:tcBorders>
            <w:hideMark/>
          </w:tcPr>
          <w:p w14:paraId="22CD173D" w14:textId="24269D8D"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Asunto</w:t>
            </w:r>
          </w:p>
        </w:tc>
      </w:tr>
      <w:tr w:rsidR="000625C5" w:rsidRPr="000625C5" w14:paraId="363B776B" w14:textId="77777777">
        <w:trPr>
          <w:trHeight w:val="300"/>
        </w:trPr>
        <w:tc>
          <w:tcPr>
            <w:tcW w:w="2295" w:type="dxa"/>
            <w:tcBorders>
              <w:top w:val="single" w:sz="6" w:space="0" w:color="auto"/>
              <w:left w:val="single" w:sz="6" w:space="0" w:color="auto"/>
              <w:bottom w:val="single" w:sz="6" w:space="0" w:color="auto"/>
              <w:right w:val="single" w:sz="6" w:space="0" w:color="auto"/>
            </w:tcBorders>
            <w:hideMark/>
          </w:tcPr>
          <w:p w14:paraId="1A617674" w14:textId="3A553D97"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Renuncia / Exclusión</w:t>
            </w:r>
          </w:p>
        </w:tc>
        <w:tc>
          <w:tcPr>
            <w:tcW w:w="2295" w:type="dxa"/>
            <w:tcBorders>
              <w:top w:val="single" w:sz="6" w:space="0" w:color="auto"/>
              <w:left w:val="single" w:sz="6" w:space="0" w:color="auto"/>
              <w:bottom w:val="single" w:sz="6" w:space="0" w:color="auto"/>
              <w:right w:val="single" w:sz="6" w:space="0" w:color="auto"/>
            </w:tcBorders>
            <w:hideMark/>
          </w:tcPr>
          <w:p w14:paraId="2809F737" w14:textId="79427586"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006</w:t>
            </w:r>
          </w:p>
        </w:tc>
        <w:tc>
          <w:tcPr>
            <w:tcW w:w="2295" w:type="dxa"/>
            <w:tcBorders>
              <w:top w:val="single" w:sz="6" w:space="0" w:color="auto"/>
              <w:left w:val="single" w:sz="6" w:space="0" w:color="auto"/>
              <w:bottom w:val="single" w:sz="6" w:space="0" w:color="auto"/>
              <w:right w:val="single" w:sz="6" w:space="0" w:color="auto"/>
            </w:tcBorders>
            <w:hideMark/>
          </w:tcPr>
          <w:p w14:paraId="215DBFDD" w14:textId="6B698833"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1/09/2025</w:t>
            </w:r>
          </w:p>
        </w:tc>
        <w:tc>
          <w:tcPr>
            <w:tcW w:w="2475" w:type="dxa"/>
            <w:tcBorders>
              <w:top w:val="single" w:sz="6" w:space="0" w:color="auto"/>
              <w:left w:val="single" w:sz="6" w:space="0" w:color="auto"/>
              <w:bottom w:val="single" w:sz="6" w:space="0" w:color="auto"/>
              <w:right w:val="single" w:sz="6" w:space="0" w:color="auto"/>
            </w:tcBorders>
            <w:hideMark/>
          </w:tcPr>
          <w:p w14:paraId="249654AF" w14:textId="7876EF4E"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sz w:val="18"/>
                <w:szCs w:val="18"/>
                <w:lang w:val="es-CO"/>
              </w:rPr>
              <w:t xml:space="preserve">“Por medio de la cual se excluye a la señora JOHANA GUEVARA ANDRADE C.C. 1121918333 del otorgamiento de subsidio de vivienda de </w:t>
            </w:r>
            <w:r w:rsidRPr="000625C5">
              <w:rPr>
                <w:rStyle w:val="normaltextrun"/>
                <w:rFonts w:ascii="Arial" w:eastAsiaTheme="majorEastAsia" w:hAnsi="Arial" w:cs="Arial"/>
                <w:sz w:val="18"/>
                <w:szCs w:val="18"/>
                <w:lang w:val="es-CO"/>
              </w:rPr>
              <w:lastRenderedPageBreak/>
              <w:t>interés social rural de que trata la Resolución 247 de 2019 por renuncia voluntaria”</w:t>
            </w:r>
          </w:p>
        </w:tc>
      </w:tr>
      <w:tr w:rsidR="000625C5" w:rsidRPr="000625C5" w14:paraId="67336116" w14:textId="77777777">
        <w:trPr>
          <w:trHeight w:val="300"/>
        </w:trPr>
        <w:tc>
          <w:tcPr>
            <w:tcW w:w="2295" w:type="dxa"/>
            <w:tcBorders>
              <w:top w:val="single" w:sz="6" w:space="0" w:color="auto"/>
              <w:left w:val="single" w:sz="6" w:space="0" w:color="auto"/>
              <w:bottom w:val="single" w:sz="6" w:space="0" w:color="auto"/>
              <w:right w:val="single" w:sz="6" w:space="0" w:color="auto"/>
            </w:tcBorders>
            <w:hideMark/>
          </w:tcPr>
          <w:p w14:paraId="22612667" w14:textId="7328A57D"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lastRenderedPageBreak/>
              <w:t>Venta de predio/ </w:t>
            </w:r>
            <w:proofErr w:type="spellStart"/>
            <w:r w:rsidRPr="000625C5">
              <w:rPr>
                <w:rStyle w:val="normaltextrun"/>
                <w:rFonts w:ascii="Arial" w:eastAsiaTheme="majorEastAsia" w:hAnsi="Arial" w:cs="Arial"/>
                <w:b/>
                <w:bCs/>
                <w:color w:val="000000"/>
                <w:sz w:val="18"/>
                <w:szCs w:val="18"/>
                <w:lang w:val="es-CO"/>
              </w:rPr>
              <w:t>Exclusion</w:t>
            </w:r>
            <w:proofErr w:type="spellEnd"/>
          </w:p>
        </w:tc>
        <w:tc>
          <w:tcPr>
            <w:tcW w:w="2295" w:type="dxa"/>
            <w:tcBorders>
              <w:top w:val="single" w:sz="6" w:space="0" w:color="auto"/>
              <w:left w:val="single" w:sz="6" w:space="0" w:color="auto"/>
              <w:bottom w:val="single" w:sz="6" w:space="0" w:color="auto"/>
              <w:right w:val="single" w:sz="6" w:space="0" w:color="auto"/>
            </w:tcBorders>
            <w:hideMark/>
          </w:tcPr>
          <w:p w14:paraId="040B11CB" w14:textId="05A388D9"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007</w:t>
            </w:r>
          </w:p>
        </w:tc>
        <w:tc>
          <w:tcPr>
            <w:tcW w:w="2295" w:type="dxa"/>
            <w:tcBorders>
              <w:top w:val="single" w:sz="6" w:space="0" w:color="auto"/>
              <w:left w:val="single" w:sz="6" w:space="0" w:color="auto"/>
              <w:bottom w:val="single" w:sz="6" w:space="0" w:color="auto"/>
              <w:right w:val="single" w:sz="6" w:space="0" w:color="auto"/>
            </w:tcBorders>
            <w:hideMark/>
          </w:tcPr>
          <w:p w14:paraId="37B63A17" w14:textId="4A9B0CE1"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03/10/2025</w:t>
            </w:r>
          </w:p>
        </w:tc>
        <w:tc>
          <w:tcPr>
            <w:tcW w:w="2475" w:type="dxa"/>
            <w:tcBorders>
              <w:top w:val="single" w:sz="6" w:space="0" w:color="auto"/>
              <w:left w:val="single" w:sz="6" w:space="0" w:color="auto"/>
              <w:bottom w:val="single" w:sz="6" w:space="0" w:color="auto"/>
              <w:right w:val="single" w:sz="6" w:space="0" w:color="auto"/>
            </w:tcBorders>
            <w:hideMark/>
          </w:tcPr>
          <w:p w14:paraId="64DF57AC" w14:textId="05C76F50"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sz w:val="18"/>
                <w:szCs w:val="18"/>
                <w:lang w:val="es-CO"/>
              </w:rPr>
              <w:t>Por medio de la cual se excluye a la señora LUZ MARIA MANRIQUE VILLADA identificada con C.C. 41.381.241 del otorgamiento de subsidio de vivienda de interés social rural de que trata la Resolución 591 de 2019 por venta de predio</w:t>
            </w:r>
          </w:p>
        </w:tc>
      </w:tr>
      <w:tr w:rsidR="000625C5" w:rsidRPr="000625C5" w14:paraId="76188DB0" w14:textId="77777777">
        <w:trPr>
          <w:trHeight w:val="300"/>
        </w:trPr>
        <w:tc>
          <w:tcPr>
            <w:tcW w:w="2295" w:type="dxa"/>
            <w:tcBorders>
              <w:top w:val="single" w:sz="6" w:space="0" w:color="auto"/>
              <w:left w:val="single" w:sz="6" w:space="0" w:color="auto"/>
              <w:bottom w:val="single" w:sz="6" w:space="0" w:color="auto"/>
              <w:right w:val="single" w:sz="6" w:space="0" w:color="auto"/>
            </w:tcBorders>
            <w:hideMark/>
          </w:tcPr>
          <w:p w14:paraId="39206FA5" w14:textId="7961B23B"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Renuncia / Exclusión</w:t>
            </w:r>
          </w:p>
        </w:tc>
        <w:tc>
          <w:tcPr>
            <w:tcW w:w="2295" w:type="dxa"/>
            <w:tcBorders>
              <w:top w:val="single" w:sz="6" w:space="0" w:color="auto"/>
              <w:left w:val="single" w:sz="6" w:space="0" w:color="auto"/>
              <w:bottom w:val="single" w:sz="6" w:space="0" w:color="auto"/>
              <w:right w:val="single" w:sz="6" w:space="0" w:color="auto"/>
            </w:tcBorders>
            <w:hideMark/>
          </w:tcPr>
          <w:p w14:paraId="2C67E0F0" w14:textId="6DC5A759"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010</w:t>
            </w:r>
          </w:p>
        </w:tc>
        <w:tc>
          <w:tcPr>
            <w:tcW w:w="2295" w:type="dxa"/>
            <w:tcBorders>
              <w:top w:val="single" w:sz="6" w:space="0" w:color="auto"/>
              <w:left w:val="single" w:sz="6" w:space="0" w:color="auto"/>
              <w:bottom w:val="single" w:sz="6" w:space="0" w:color="auto"/>
              <w:right w:val="single" w:sz="6" w:space="0" w:color="auto"/>
            </w:tcBorders>
            <w:hideMark/>
          </w:tcPr>
          <w:p w14:paraId="282D226B" w14:textId="3949F36C"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04/11/2025</w:t>
            </w:r>
          </w:p>
        </w:tc>
        <w:tc>
          <w:tcPr>
            <w:tcW w:w="2475" w:type="dxa"/>
            <w:tcBorders>
              <w:top w:val="single" w:sz="6" w:space="0" w:color="auto"/>
              <w:left w:val="single" w:sz="6" w:space="0" w:color="auto"/>
              <w:bottom w:val="single" w:sz="6" w:space="0" w:color="auto"/>
              <w:right w:val="single" w:sz="6" w:space="0" w:color="auto"/>
            </w:tcBorders>
            <w:hideMark/>
          </w:tcPr>
          <w:p w14:paraId="668E246E" w14:textId="4F05F9CC"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sz w:val="18"/>
                <w:szCs w:val="18"/>
                <w:lang w:val="es-CO"/>
              </w:rPr>
              <w:t>“Por medio de la cual se excluye a la señora ALIS LIRDEY ARISMENDY RUIZ, identificada con la cedula de ciudadanía número No. 23.726.192 otorgamiento de subsidio de vivienda de interés social rural de que trata la Resolución 597 de 2019 por renuncia voluntaria”</w:t>
            </w:r>
          </w:p>
        </w:tc>
      </w:tr>
      <w:tr w:rsidR="000625C5" w:rsidRPr="000625C5" w14:paraId="10A1F42E" w14:textId="77777777">
        <w:trPr>
          <w:trHeight w:val="300"/>
        </w:trPr>
        <w:tc>
          <w:tcPr>
            <w:tcW w:w="2295" w:type="dxa"/>
            <w:tcBorders>
              <w:top w:val="single" w:sz="6" w:space="0" w:color="auto"/>
              <w:left w:val="single" w:sz="6" w:space="0" w:color="auto"/>
              <w:bottom w:val="single" w:sz="6" w:space="0" w:color="auto"/>
              <w:right w:val="single" w:sz="6" w:space="0" w:color="auto"/>
            </w:tcBorders>
            <w:hideMark/>
          </w:tcPr>
          <w:p w14:paraId="27009133" w14:textId="33FF6B29"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Renuncia / Exclusión</w:t>
            </w:r>
          </w:p>
        </w:tc>
        <w:tc>
          <w:tcPr>
            <w:tcW w:w="2295" w:type="dxa"/>
            <w:tcBorders>
              <w:top w:val="single" w:sz="6" w:space="0" w:color="auto"/>
              <w:left w:val="single" w:sz="6" w:space="0" w:color="auto"/>
              <w:bottom w:val="single" w:sz="6" w:space="0" w:color="auto"/>
              <w:right w:val="single" w:sz="6" w:space="0" w:color="auto"/>
            </w:tcBorders>
            <w:hideMark/>
          </w:tcPr>
          <w:p w14:paraId="5BCF1988" w14:textId="52B1FC37"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013</w:t>
            </w:r>
          </w:p>
        </w:tc>
        <w:tc>
          <w:tcPr>
            <w:tcW w:w="2295" w:type="dxa"/>
            <w:tcBorders>
              <w:top w:val="single" w:sz="6" w:space="0" w:color="auto"/>
              <w:left w:val="single" w:sz="6" w:space="0" w:color="auto"/>
              <w:bottom w:val="single" w:sz="6" w:space="0" w:color="auto"/>
              <w:right w:val="single" w:sz="6" w:space="0" w:color="auto"/>
            </w:tcBorders>
            <w:hideMark/>
          </w:tcPr>
          <w:p w14:paraId="3313659A" w14:textId="650C4E59"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b/>
                <w:bCs/>
                <w:color w:val="000000"/>
                <w:sz w:val="18"/>
                <w:szCs w:val="18"/>
                <w:lang w:val="es-CO"/>
              </w:rPr>
              <w:t>02/12/2025</w:t>
            </w:r>
          </w:p>
        </w:tc>
        <w:tc>
          <w:tcPr>
            <w:tcW w:w="2475" w:type="dxa"/>
            <w:tcBorders>
              <w:top w:val="single" w:sz="6" w:space="0" w:color="auto"/>
              <w:left w:val="single" w:sz="6" w:space="0" w:color="auto"/>
              <w:bottom w:val="single" w:sz="6" w:space="0" w:color="auto"/>
              <w:right w:val="single" w:sz="6" w:space="0" w:color="auto"/>
            </w:tcBorders>
            <w:hideMark/>
          </w:tcPr>
          <w:p w14:paraId="0A2D8DB4" w14:textId="334CE79E" w:rsidR="000625C5" w:rsidRPr="000625C5" w:rsidRDefault="000625C5" w:rsidP="000625C5">
            <w:pPr>
              <w:pStyle w:val="paragraph"/>
              <w:spacing w:before="0" w:beforeAutospacing="0" w:after="0" w:afterAutospacing="0"/>
              <w:jc w:val="center"/>
              <w:textAlignment w:val="baseline"/>
              <w:rPr>
                <w:rFonts w:ascii="Segoe UI" w:hAnsi="Segoe UI" w:cs="Segoe UI"/>
                <w:sz w:val="18"/>
                <w:szCs w:val="18"/>
              </w:rPr>
            </w:pPr>
            <w:r w:rsidRPr="000625C5">
              <w:rPr>
                <w:rStyle w:val="normaltextrun"/>
                <w:rFonts w:ascii="Arial" w:eastAsiaTheme="majorEastAsia" w:hAnsi="Arial" w:cs="Arial"/>
                <w:sz w:val="18"/>
                <w:szCs w:val="18"/>
                <w:lang w:val="es-CO"/>
              </w:rPr>
              <w:t>“Por medio de la cual se excluye al señor JORGE TRUJILLO MARTINEZ identificado con C.C. 1.083.912.598 del otorgamiento de subsidio de vivienda de interés social rural de que trata la Resolución 934 de 2019 por renuncia voluntaria”</w:t>
            </w:r>
          </w:p>
        </w:tc>
      </w:tr>
      <w:bookmarkEnd w:id="27"/>
    </w:tbl>
    <w:p w14:paraId="0A0DDE7A" w14:textId="77777777" w:rsidR="0066474F" w:rsidRDefault="0066474F" w:rsidP="00CB24C7">
      <w:pPr>
        <w:jc w:val="both"/>
        <w:rPr>
          <w:rFonts w:ascii="Arial" w:hAnsi="Arial" w:cs="Arial"/>
          <w:b/>
          <w:bCs/>
          <w:sz w:val="22"/>
          <w:szCs w:val="22"/>
          <w:lang w:val="es-ES_tradnl"/>
        </w:rPr>
      </w:pPr>
    </w:p>
    <w:p w14:paraId="4D6C3688" w14:textId="77777777" w:rsidR="0066474F" w:rsidRDefault="0066474F" w:rsidP="00CB24C7">
      <w:pPr>
        <w:jc w:val="both"/>
        <w:rPr>
          <w:rFonts w:ascii="Arial" w:hAnsi="Arial" w:cs="Arial"/>
          <w:b/>
          <w:bCs/>
          <w:sz w:val="22"/>
          <w:szCs w:val="22"/>
          <w:lang w:val="es-ES_tradnl"/>
        </w:rPr>
      </w:pPr>
    </w:p>
    <w:p w14:paraId="50735AB7" w14:textId="0812CDC4" w:rsidR="00BB3C6C" w:rsidRPr="00705900" w:rsidRDefault="00BB3C6C" w:rsidP="005F760B">
      <w:pPr>
        <w:pStyle w:val="Ttulo1"/>
        <w:numPr>
          <w:ilvl w:val="0"/>
          <w:numId w:val="7"/>
        </w:numPr>
        <w:spacing w:before="0"/>
        <w:rPr>
          <w:rFonts w:ascii="Arial" w:hAnsi="Arial" w:cs="Arial"/>
          <w:b/>
          <w:bCs/>
          <w:color w:val="385623" w:themeColor="accent6" w:themeShade="80"/>
          <w:sz w:val="22"/>
          <w:szCs w:val="22"/>
        </w:rPr>
      </w:pPr>
      <w:bookmarkStart w:id="39" w:name="_Toc225874792"/>
      <w:bookmarkStart w:id="40" w:name="_Toc98789024"/>
      <w:r w:rsidRPr="00705900">
        <w:rPr>
          <w:rFonts w:ascii="Arial" w:hAnsi="Arial" w:cs="Arial"/>
          <w:b/>
          <w:bCs/>
          <w:color w:val="385623" w:themeColor="accent6" w:themeShade="80"/>
          <w:sz w:val="22"/>
          <w:szCs w:val="22"/>
        </w:rPr>
        <w:t>GESTIÓN DE TRÁMITES JUDICIALES</w:t>
      </w:r>
      <w:bookmarkEnd w:id="39"/>
    </w:p>
    <w:p w14:paraId="64C41209" w14:textId="77777777" w:rsidR="00BB3C6C" w:rsidRDefault="00BB3C6C" w:rsidP="00BB3C6C"/>
    <w:p w14:paraId="6A983551" w14:textId="77777777" w:rsidR="00213B0C" w:rsidRDefault="00213B0C" w:rsidP="00771675">
      <w:pPr>
        <w:jc w:val="both"/>
        <w:rPr>
          <w:rFonts w:ascii="Arial" w:hAnsi="Arial" w:cs="Arial"/>
          <w:sz w:val="22"/>
          <w:szCs w:val="22"/>
          <w:lang w:val="es-MX"/>
        </w:rPr>
      </w:pPr>
    </w:p>
    <w:p w14:paraId="6C42635A" w14:textId="77777777" w:rsidR="00213B0C" w:rsidRPr="00213B0C" w:rsidRDefault="00213B0C" w:rsidP="00213B0C">
      <w:pPr>
        <w:rPr>
          <w:b/>
          <w:bCs/>
          <w:color w:val="EE0000"/>
        </w:rPr>
      </w:pPr>
      <w:r w:rsidRPr="00213B0C">
        <w:rPr>
          <w:b/>
          <w:bCs/>
          <w:color w:val="EE0000"/>
        </w:rPr>
        <w:t>LORENA</w:t>
      </w:r>
    </w:p>
    <w:p w14:paraId="531792A7" w14:textId="77777777" w:rsidR="00213B0C" w:rsidRDefault="00213B0C" w:rsidP="00771675">
      <w:pPr>
        <w:jc w:val="both"/>
        <w:rPr>
          <w:rFonts w:ascii="Arial" w:hAnsi="Arial" w:cs="Arial"/>
          <w:sz w:val="22"/>
          <w:szCs w:val="22"/>
          <w:lang w:val="es-MX"/>
        </w:rPr>
      </w:pPr>
    </w:p>
    <w:p w14:paraId="00C10F71" w14:textId="60165068" w:rsidR="00771675" w:rsidRPr="00CB71B7" w:rsidRDefault="00771675" w:rsidP="00771675">
      <w:pPr>
        <w:jc w:val="both"/>
        <w:rPr>
          <w:rFonts w:ascii="Arial" w:hAnsi="Arial" w:cs="Arial"/>
          <w:sz w:val="22"/>
          <w:szCs w:val="22"/>
          <w:lang w:val="es-MX"/>
        </w:rPr>
      </w:pPr>
      <w:r w:rsidRPr="00771675">
        <w:rPr>
          <w:rFonts w:ascii="Arial" w:hAnsi="Arial" w:cs="Arial"/>
          <w:sz w:val="22"/>
          <w:szCs w:val="22"/>
          <w:lang w:val="es-MX"/>
        </w:rPr>
        <w:t xml:space="preserve">Durante el último trimestre del año 2025, el equipo jurídico enfocó sus esfuerzos en la estabilización de los procesos judiciales y administrativos, logrando un cierre de año con 351 actuaciones gestionadas para el trimestre reportado. El periodo se caracterizó por una alta carga en la etapa inicial de procesos y un avance significativo en el seguimiento </w:t>
      </w:r>
      <w:proofErr w:type="spellStart"/>
      <w:r w:rsidRPr="00771675">
        <w:rPr>
          <w:rFonts w:ascii="Arial" w:hAnsi="Arial" w:cs="Arial"/>
          <w:sz w:val="22"/>
          <w:szCs w:val="22"/>
          <w:lang w:val="es-MX"/>
        </w:rPr>
        <w:t>post-fallo</w:t>
      </w:r>
      <w:proofErr w:type="spellEnd"/>
      <w:r w:rsidRPr="00771675">
        <w:rPr>
          <w:rFonts w:ascii="Arial" w:hAnsi="Arial" w:cs="Arial"/>
          <w:sz w:val="22"/>
          <w:szCs w:val="22"/>
          <w:lang w:val="es-MX"/>
        </w:rPr>
        <w:t xml:space="preserve"> y cumplimiento efectivo de </w:t>
      </w:r>
      <w:r w:rsidR="00CB71B7">
        <w:rPr>
          <w:rFonts w:ascii="Arial" w:hAnsi="Arial" w:cs="Arial"/>
          <w:sz w:val="22"/>
          <w:szCs w:val="22"/>
          <w:lang w:val="es-MX"/>
        </w:rPr>
        <w:t>ó</w:t>
      </w:r>
      <w:r w:rsidRPr="00771675">
        <w:rPr>
          <w:rFonts w:ascii="Arial" w:hAnsi="Arial" w:cs="Arial"/>
          <w:sz w:val="22"/>
          <w:szCs w:val="22"/>
          <w:lang w:val="es-MX"/>
        </w:rPr>
        <w:t>rdenes judiciales, con entrega en tiempos a la OAJ.</w:t>
      </w:r>
    </w:p>
    <w:p w14:paraId="101F5AEE" w14:textId="77777777" w:rsidR="00CB71B7" w:rsidRPr="00771675" w:rsidRDefault="00CB71B7" w:rsidP="00771675">
      <w:pPr>
        <w:jc w:val="both"/>
        <w:rPr>
          <w:rFonts w:ascii="Arial" w:hAnsi="Arial" w:cs="Arial"/>
          <w:sz w:val="22"/>
          <w:szCs w:val="22"/>
          <w:lang w:val="es-MX"/>
        </w:rPr>
      </w:pPr>
    </w:p>
    <w:p w14:paraId="097A1C93" w14:textId="77777777" w:rsidR="00771675" w:rsidRPr="00771675" w:rsidRDefault="00771675" w:rsidP="00771675">
      <w:pPr>
        <w:jc w:val="both"/>
        <w:rPr>
          <w:rFonts w:ascii="Arial" w:hAnsi="Arial" w:cs="Arial"/>
          <w:sz w:val="22"/>
          <w:szCs w:val="22"/>
          <w:lang w:val="es-MX"/>
        </w:rPr>
      </w:pPr>
      <w:r w:rsidRPr="00771675">
        <w:rPr>
          <w:rFonts w:ascii="Arial" w:hAnsi="Arial" w:cs="Arial"/>
          <w:sz w:val="22"/>
          <w:szCs w:val="22"/>
          <w:lang w:val="es-MX"/>
        </w:rPr>
        <w:t>Análisis de Actuaciones Jurídicas</w:t>
      </w:r>
    </w:p>
    <w:p w14:paraId="2CA6ED0F" w14:textId="77777777" w:rsidR="00771675" w:rsidRDefault="00771675" w:rsidP="00771675">
      <w:pPr>
        <w:jc w:val="both"/>
        <w:rPr>
          <w:rFonts w:ascii="Arial" w:hAnsi="Arial" w:cs="Arial"/>
          <w:sz w:val="22"/>
          <w:szCs w:val="22"/>
          <w:lang w:val="es-MX"/>
        </w:rPr>
      </w:pPr>
      <w:r w:rsidRPr="00771675">
        <w:rPr>
          <w:rFonts w:ascii="Arial" w:hAnsi="Arial" w:cs="Arial"/>
          <w:sz w:val="22"/>
          <w:szCs w:val="22"/>
          <w:lang w:val="es-MX"/>
        </w:rPr>
        <w:t>De acuerdo con el consolidado del periodo, la distribución de las cargas de trabajo se detalla a continuación:</w:t>
      </w:r>
    </w:p>
    <w:p w14:paraId="003D30A5" w14:textId="77777777" w:rsidR="00213B0C" w:rsidRPr="00771675" w:rsidRDefault="00213B0C" w:rsidP="00771675">
      <w:pPr>
        <w:jc w:val="both"/>
        <w:rPr>
          <w:rFonts w:ascii="Arial" w:hAnsi="Arial" w:cs="Arial"/>
          <w:sz w:val="22"/>
          <w:szCs w:val="22"/>
          <w:lang w:val="es-MX"/>
        </w:rPr>
      </w:pPr>
    </w:p>
    <w:p w14:paraId="1AE125C0" w14:textId="700A22D3" w:rsidR="00771675" w:rsidRPr="00771675" w:rsidRDefault="00771675" w:rsidP="00CB71B7">
      <w:pPr>
        <w:jc w:val="center"/>
        <w:rPr>
          <w:rFonts w:ascii="Arial" w:hAnsi="Arial" w:cs="Arial"/>
          <w:sz w:val="22"/>
          <w:szCs w:val="22"/>
          <w:lang w:val="es-MX"/>
        </w:rPr>
      </w:pPr>
      <w:r w:rsidRPr="00771675">
        <w:rPr>
          <w:rFonts w:ascii="Arial" w:hAnsi="Arial" w:cs="Arial"/>
          <w:noProof/>
          <w:sz w:val="22"/>
          <w:szCs w:val="22"/>
          <w:lang w:val="es-MX"/>
        </w:rPr>
        <w:lastRenderedPageBreak/>
        <w:drawing>
          <wp:inline distT="0" distB="0" distL="0" distR="0" wp14:anchorId="00776DEF" wp14:editId="429D7DD7">
            <wp:extent cx="5021580" cy="2748128"/>
            <wp:effectExtent l="0" t="0" r="7620" b="0"/>
            <wp:docPr id="1065575945"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26522" cy="2750832"/>
                    </a:xfrm>
                    <a:prstGeom prst="rect">
                      <a:avLst/>
                    </a:prstGeom>
                    <a:noFill/>
                    <a:ln>
                      <a:noFill/>
                    </a:ln>
                  </pic:spPr>
                </pic:pic>
              </a:graphicData>
            </a:graphic>
          </wp:inline>
        </w:drawing>
      </w:r>
      <w:r w:rsidRPr="00771675">
        <w:rPr>
          <w:rFonts w:ascii="Arial" w:hAnsi="Arial" w:cs="Arial"/>
          <w:sz w:val="22"/>
          <w:szCs w:val="22"/>
          <w:lang w:val="es-MX"/>
        </w:rPr>
        <w:br/>
      </w:r>
    </w:p>
    <w:p w14:paraId="4A71F431" w14:textId="77777777" w:rsidR="00771675" w:rsidRPr="00771675" w:rsidRDefault="00771675" w:rsidP="00771675">
      <w:pPr>
        <w:jc w:val="both"/>
        <w:rPr>
          <w:rFonts w:ascii="Arial" w:hAnsi="Arial" w:cs="Arial"/>
          <w:sz w:val="22"/>
          <w:szCs w:val="22"/>
          <w:lang w:val="es-MX"/>
        </w:rPr>
      </w:pPr>
    </w:p>
    <w:p w14:paraId="45D7C9B3" w14:textId="77777777" w:rsidR="00771675" w:rsidRPr="00771675" w:rsidRDefault="00771675" w:rsidP="00771675">
      <w:pPr>
        <w:jc w:val="both"/>
        <w:rPr>
          <w:rFonts w:ascii="Arial" w:hAnsi="Arial" w:cs="Arial"/>
          <w:sz w:val="22"/>
          <w:szCs w:val="22"/>
          <w:lang w:val="es-MX"/>
        </w:rPr>
      </w:pPr>
      <w:r w:rsidRPr="00771675">
        <w:rPr>
          <w:rFonts w:ascii="Arial" w:hAnsi="Arial" w:cs="Arial"/>
          <w:sz w:val="22"/>
          <w:szCs w:val="22"/>
          <w:lang w:val="es-MX"/>
        </w:rPr>
        <w:t>Transición al Modelo de Autogestión</w:t>
      </w:r>
    </w:p>
    <w:p w14:paraId="5939888B" w14:textId="77777777" w:rsidR="00771675" w:rsidRDefault="00771675" w:rsidP="00771675">
      <w:pPr>
        <w:jc w:val="both"/>
        <w:rPr>
          <w:rFonts w:ascii="Arial" w:hAnsi="Arial" w:cs="Arial"/>
          <w:sz w:val="22"/>
          <w:szCs w:val="22"/>
          <w:lang w:val="es-MX"/>
        </w:rPr>
      </w:pPr>
    </w:p>
    <w:p w14:paraId="0261C221" w14:textId="788674BE" w:rsidR="00771675" w:rsidRPr="00771675" w:rsidRDefault="00771675" w:rsidP="00771675">
      <w:pPr>
        <w:jc w:val="both"/>
        <w:rPr>
          <w:rFonts w:ascii="Arial" w:hAnsi="Arial" w:cs="Arial"/>
          <w:sz w:val="22"/>
          <w:szCs w:val="22"/>
          <w:lang w:val="es-MX"/>
        </w:rPr>
      </w:pPr>
      <w:r w:rsidRPr="00771675">
        <w:rPr>
          <w:rFonts w:ascii="Arial" w:hAnsi="Arial" w:cs="Arial"/>
          <w:sz w:val="22"/>
          <w:szCs w:val="22"/>
          <w:lang w:val="es-MX"/>
        </w:rPr>
        <w:t>Bajo la dirección estratégica del equipo jurídico, se lideró la transición del Modelo en Especie hacia el nuevo Modelo de Autogestión. Este cambio representa una optimización en la entrega de soluciones y una mayor autonomía para los beneficiarios.</w:t>
      </w:r>
    </w:p>
    <w:p w14:paraId="7B612741" w14:textId="77777777" w:rsidR="00771675" w:rsidRDefault="00771675" w:rsidP="00771675">
      <w:pPr>
        <w:jc w:val="both"/>
        <w:rPr>
          <w:rFonts w:ascii="Arial" w:hAnsi="Arial" w:cs="Arial"/>
          <w:sz w:val="22"/>
          <w:szCs w:val="22"/>
          <w:lang w:val="es-MX"/>
        </w:rPr>
      </w:pPr>
      <w:r w:rsidRPr="00771675">
        <w:rPr>
          <w:rFonts w:ascii="Arial" w:hAnsi="Arial" w:cs="Arial"/>
          <w:sz w:val="22"/>
          <w:szCs w:val="22"/>
          <w:lang w:val="es-MX"/>
        </w:rPr>
        <w:t>Resultados de la implementación:</w:t>
      </w:r>
    </w:p>
    <w:p w14:paraId="79838775" w14:textId="77777777" w:rsidR="00771675" w:rsidRPr="00771675" w:rsidRDefault="00771675" w:rsidP="00771675">
      <w:pPr>
        <w:jc w:val="both"/>
        <w:rPr>
          <w:rFonts w:ascii="Arial" w:hAnsi="Arial" w:cs="Arial"/>
          <w:sz w:val="22"/>
          <w:szCs w:val="22"/>
          <w:lang w:val="es-MX"/>
        </w:rPr>
      </w:pPr>
    </w:p>
    <w:p w14:paraId="592BDC74" w14:textId="77777777" w:rsidR="00771675" w:rsidRPr="00771675" w:rsidRDefault="00771675" w:rsidP="00771675">
      <w:pPr>
        <w:numPr>
          <w:ilvl w:val="0"/>
          <w:numId w:val="19"/>
        </w:numPr>
        <w:jc w:val="both"/>
        <w:rPr>
          <w:rFonts w:ascii="Arial" w:hAnsi="Arial" w:cs="Arial"/>
          <w:sz w:val="22"/>
          <w:szCs w:val="22"/>
          <w:lang w:val="es-MX"/>
        </w:rPr>
      </w:pPr>
      <w:r w:rsidRPr="00771675">
        <w:rPr>
          <w:rFonts w:ascii="Arial" w:hAnsi="Arial" w:cs="Arial"/>
          <w:sz w:val="22"/>
          <w:szCs w:val="22"/>
          <w:lang w:val="es-MX"/>
        </w:rPr>
        <w:t>Actos Administrativos Expedidos: 20 instrumentos legales emitidos bajo el nuevo marco normativo.</w:t>
      </w:r>
    </w:p>
    <w:p w14:paraId="02B53805" w14:textId="77777777" w:rsidR="00771675" w:rsidRPr="00771675" w:rsidRDefault="00771675" w:rsidP="00771675">
      <w:pPr>
        <w:numPr>
          <w:ilvl w:val="0"/>
          <w:numId w:val="19"/>
        </w:numPr>
        <w:jc w:val="both"/>
        <w:rPr>
          <w:rFonts w:ascii="Arial" w:hAnsi="Arial" w:cs="Arial"/>
          <w:sz w:val="22"/>
          <w:szCs w:val="22"/>
          <w:lang w:val="es-MX"/>
        </w:rPr>
      </w:pPr>
      <w:r w:rsidRPr="00771675">
        <w:rPr>
          <w:rFonts w:ascii="Arial" w:hAnsi="Arial" w:cs="Arial"/>
          <w:sz w:val="22"/>
          <w:szCs w:val="22"/>
          <w:lang w:val="es-MX"/>
        </w:rPr>
        <w:t>Población Impactada: 37 beneficiarios directos que ya han iniciado su tránsito bajo el esquema de autogestión.</w:t>
      </w:r>
    </w:p>
    <w:p w14:paraId="38C41F7C" w14:textId="77777777" w:rsidR="00771675" w:rsidRDefault="00771675" w:rsidP="00771675">
      <w:pPr>
        <w:jc w:val="both"/>
        <w:rPr>
          <w:rFonts w:ascii="Arial" w:hAnsi="Arial" w:cs="Arial"/>
          <w:sz w:val="22"/>
          <w:szCs w:val="22"/>
          <w:lang w:val="es-MX"/>
        </w:rPr>
      </w:pPr>
    </w:p>
    <w:p w14:paraId="7D32BE2D" w14:textId="45F08FA9" w:rsidR="00771675" w:rsidRPr="00771675" w:rsidRDefault="00771675" w:rsidP="00771675">
      <w:pPr>
        <w:jc w:val="both"/>
        <w:rPr>
          <w:rFonts w:ascii="Arial" w:hAnsi="Arial" w:cs="Arial"/>
          <w:sz w:val="22"/>
          <w:szCs w:val="22"/>
          <w:lang w:val="es-MX"/>
        </w:rPr>
      </w:pPr>
      <w:r w:rsidRPr="00771675">
        <w:rPr>
          <w:rFonts w:ascii="Arial" w:hAnsi="Arial" w:cs="Arial"/>
          <w:sz w:val="22"/>
          <w:szCs w:val="22"/>
          <w:lang w:val="es-MX"/>
        </w:rPr>
        <w:t>Este logro no solo agiliza el cumplimiento de las órdenes judiciales, sino que reduce la dependencia DE OPERADORES, mitigando riesgos de incumplimiento y posibles incidentes de desacato.</w:t>
      </w:r>
    </w:p>
    <w:p w14:paraId="1EB6C48E" w14:textId="43D6E073" w:rsidR="00771675" w:rsidRPr="00771675" w:rsidRDefault="00771675" w:rsidP="00771675">
      <w:pPr>
        <w:jc w:val="both"/>
        <w:rPr>
          <w:rFonts w:ascii="Arial" w:hAnsi="Arial" w:cs="Arial"/>
          <w:sz w:val="22"/>
          <w:szCs w:val="22"/>
          <w:lang w:val="es-MX"/>
        </w:rPr>
      </w:pPr>
    </w:p>
    <w:p w14:paraId="649F3DE5" w14:textId="77777777" w:rsidR="00771675" w:rsidRPr="00771675" w:rsidRDefault="00771675" w:rsidP="00771675">
      <w:pPr>
        <w:jc w:val="both"/>
        <w:rPr>
          <w:rFonts w:ascii="Arial" w:hAnsi="Arial" w:cs="Arial"/>
          <w:sz w:val="22"/>
          <w:szCs w:val="22"/>
          <w:lang w:val="es-MX"/>
        </w:rPr>
      </w:pPr>
      <w:r w:rsidRPr="00771675">
        <w:rPr>
          <w:rFonts w:ascii="Arial" w:hAnsi="Arial" w:cs="Arial"/>
          <w:sz w:val="22"/>
          <w:szCs w:val="22"/>
          <w:lang w:val="es-MX"/>
        </w:rPr>
        <w:t xml:space="preserve">El trimestre cerró con un control efectivo sobre las acciones de tutela y una gestión proactiva de los fallos. Para el primer trimestre de 2026, el objetivo será escalar el modelo de autogestión para cubrir el remanente de los procesos en etapa de seguimiento </w:t>
      </w:r>
      <w:proofErr w:type="spellStart"/>
      <w:r w:rsidRPr="00771675">
        <w:rPr>
          <w:rFonts w:ascii="Arial" w:hAnsi="Arial" w:cs="Arial"/>
          <w:sz w:val="22"/>
          <w:szCs w:val="22"/>
          <w:lang w:val="es-MX"/>
        </w:rPr>
        <w:t>post-fallo</w:t>
      </w:r>
      <w:proofErr w:type="spellEnd"/>
      <w:r w:rsidRPr="00771675">
        <w:rPr>
          <w:rFonts w:ascii="Arial" w:hAnsi="Arial" w:cs="Arial"/>
          <w:sz w:val="22"/>
          <w:szCs w:val="22"/>
          <w:lang w:val="es-MX"/>
        </w:rPr>
        <w:t>.</w:t>
      </w:r>
    </w:p>
    <w:p w14:paraId="1C556DCC" w14:textId="77777777" w:rsidR="00771675" w:rsidRPr="00771675" w:rsidRDefault="00771675" w:rsidP="00BB3C6C">
      <w:pPr>
        <w:jc w:val="both"/>
        <w:rPr>
          <w:rFonts w:ascii="Arial" w:hAnsi="Arial" w:cs="Arial"/>
          <w:sz w:val="22"/>
          <w:szCs w:val="22"/>
          <w:lang w:val="es-MX"/>
        </w:rPr>
      </w:pPr>
    </w:p>
    <w:p w14:paraId="7DFEC1AE" w14:textId="43A43F9A" w:rsidR="000347A6" w:rsidRPr="00CB71B7" w:rsidRDefault="000347A6" w:rsidP="005F760B">
      <w:pPr>
        <w:pStyle w:val="Ttulo1"/>
        <w:numPr>
          <w:ilvl w:val="0"/>
          <w:numId w:val="7"/>
        </w:numPr>
        <w:spacing w:before="0"/>
        <w:rPr>
          <w:rFonts w:ascii="Arial" w:hAnsi="Arial" w:cs="Arial"/>
          <w:b/>
          <w:bCs/>
          <w:color w:val="385623" w:themeColor="accent6" w:themeShade="80"/>
          <w:sz w:val="22"/>
          <w:szCs w:val="22"/>
        </w:rPr>
      </w:pPr>
      <w:bookmarkStart w:id="41" w:name="_Toc225874793"/>
      <w:r w:rsidRPr="00CB71B7">
        <w:rPr>
          <w:rFonts w:ascii="Arial" w:hAnsi="Arial" w:cs="Arial"/>
          <w:b/>
          <w:bCs/>
          <w:color w:val="385623" w:themeColor="accent6" w:themeShade="80"/>
          <w:sz w:val="22"/>
          <w:szCs w:val="22"/>
        </w:rPr>
        <w:t>COMISION INTERSECTORIAL DE VIVIENDA DE INTERÉS SOCIAL RURAL</w:t>
      </w:r>
      <w:bookmarkEnd w:id="41"/>
    </w:p>
    <w:p w14:paraId="72827710" w14:textId="3703417E" w:rsidR="00FD59D3" w:rsidRDefault="00FD59D3" w:rsidP="00FD59D3"/>
    <w:p w14:paraId="28FE33F2" w14:textId="77777777" w:rsidR="00213B0C" w:rsidRDefault="00213B0C" w:rsidP="00334DFA">
      <w:pPr>
        <w:jc w:val="both"/>
        <w:rPr>
          <w:rFonts w:ascii="Arial" w:hAnsi="Arial" w:cs="Arial"/>
          <w:sz w:val="22"/>
          <w:szCs w:val="22"/>
        </w:rPr>
      </w:pPr>
    </w:p>
    <w:p w14:paraId="79A6B9DC" w14:textId="289E1671" w:rsidR="00334DFA" w:rsidRDefault="00213B0C" w:rsidP="00334DFA">
      <w:pPr>
        <w:jc w:val="both"/>
        <w:rPr>
          <w:rFonts w:ascii="Arial" w:hAnsi="Arial" w:cs="Arial"/>
          <w:sz w:val="22"/>
          <w:szCs w:val="22"/>
        </w:rPr>
      </w:pPr>
      <w:r w:rsidRPr="00213B0C">
        <w:rPr>
          <w:rFonts w:ascii="Arial" w:hAnsi="Arial" w:cs="Arial"/>
          <w:color w:val="EE0000"/>
          <w:sz w:val="22"/>
          <w:szCs w:val="22"/>
        </w:rPr>
        <w:t xml:space="preserve">CATALINA </w:t>
      </w:r>
      <w:r w:rsidR="0025662D">
        <w:rPr>
          <w:rFonts w:ascii="Arial" w:hAnsi="Arial" w:cs="Arial"/>
          <w:sz w:val="22"/>
          <w:szCs w:val="22"/>
        </w:rPr>
        <w:t>Du</w:t>
      </w:r>
      <w:r w:rsidR="00334DFA">
        <w:rPr>
          <w:rFonts w:ascii="Arial" w:hAnsi="Arial" w:cs="Arial"/>
          <w:sz w:val="22"/>
          <w:szCs w:val="22"/>
        </w:rPr>
        <w:t>rante el último</w:t>
      </w:r>
      <w:r w:rsidR="0025662D">
        <w:rPr>
          <w:rFonts w:ascii="Arial" w:hAnsi="Arial" w:cs="Arial"/>
          <w:sz w:val="22"/>
          <w:szCs w:val="22"/>
        </w:rPr>
        <w:t xml:space="preserve"> trimestre, la </w:t>
      </w:r>
      <w:r w:rsidR="00334DFA">
        <w:rPr>
          <w:rFonts w:ascii="Arial" w:hAnsi="Arial" w:cs="Arial"/>
          <w:sz w:val="22"/>
          <w:szCs w:val="22"/>
        </w:rPr>
        <w:t>C</w:t>
      </w:r>
      <w:r w:rsidR="0025662D">
        <w:rPr>
          <w:rFonts w:ascii="Arial" w:hAnsi="Arial" w:cs="Arial"/>
          <w:sz w:val="22"/>
          <w:szCs w:val="22"/>
        </w:rPr>
        <w:t xml:space="preserve">omisión </w:t>
      </w:r>
      <w:r w:rsidR="00334DFA">
        <w:rPr>
          <w:rFonts w:ascii="Arial" w:hAnsi="Arial" w:cs="Arial"/>
          <w:sz w:val="22"/>
          <w:szCs w:val="22"/>
        </w:rPr>
        <w:t>I</w:t>
      </w:r>
      <w:r w:rsidR="0025662D">
        <w:rPr>
          <w:rFonts w:ascii="Arial" w:hAnsi="Arial" w:cs="Arial"/>
          <w:sz w:val="22"/>
          <w:szCs w:val="22"/>
        </w:rPr>
        <w:t xml:space="preserve">ntersectorial </w:t>
      </w:r>
      <w:r w:rsidR="00334DFA">
        <w:rPr>
          <w:rFonts w:ascii="Arial" w:hAnsi="Arial" w:cs="Arial"/>
          <w:sz w:val="22"/>
          <w:szCs w:val="22"/>
        </w:rPr>
        <w:t xml:space="preserve">de Vivienda de Interés Social Rural </w:t>
      </w:r>
      <w:r w:rsidR="0025662D">
        <w:rPr>
          <w:rFonts w:ascii="Arial" w:hAnsi="Arial" w:cs="Arial"/>
          <w:sz w:val="22"/>
          <w:szCs w:val="22"/>
        </w:rPr>
        <w:t xml:space="preserve">fue convocada </w:t>
      </w:r>
      <w:r w:rsidR="00773EE7">
        <w:rPr>
          <w:rFonts w:ascii="Arial" w:hAnsi="Arial" w:cs="Arial"/>
          <w:sz w:val="22"/>
          <w:szCs w:val="22"/>
        </w:rPr>
        <w:t xml:space="preserve">para el 18 de noviembre de 2025, </w:t>
      </w:r>
      <w:r w:rsidR="0025662D">
        <w:rPr>
          <w:rFonts w:ascii="Arial" w:hAnsi="Arial" w:cs="Arial"/>
          <w:sz w:val="22"/>
          <w:szCs w:val="22"/>
        </w:rPr>
        <w:t xml:space="preserve">con </w:t>
      </w:r>
      <w:r w:rsidR="00334DFA">
        <w:rPr>
          <w:rFonts w:ascii="Arial" w:hAnsi="Arial" w:cs="Arial"/>
          <w:sz w:val="22"/>
          <w:szCs w:val="22"/>
        </w:rPr>
        <w:t>el siguiente propósito</w:t>
      </w:r>
      <w:r w:rsidR="00773EE7">
        <w:rPr>
          <w:rFonts w:ascii="Arial" w:hAnsi="Arial" w:cs="Arial"/>
          <w:sz w:val="22"/>
          <w:szCs w:val="22"/>
        </w:rPr>
        <w:t>, después de hacer realizado 4 mesas preparatorias</w:t>
      </w:r>
      <w:r w:rsidR="00334DFA">
        <w:rPr>
          <w:rFonts w:ascii="Arial" w:hAnsi="Arial" w:cs="Arial"/>
          <w:sz w:val="22"/>
          <w:szCs w:val="22"/>
        </w:rPr>
        <w:t xml:space="preserve">: </w:t>
      </w:r>
    </w:p>
    <w:p w14:paraId="13106961" w14:textId="77777777" w:rsidR="00A176F5" w:rsidRPr="00773EE7" w:rsidRDefault="00A176F5" w:rsidP="00A176F5">
      <w:pPr>
        <w:jc w:val="both"/>
        <w:rPr>
          <w:rFonts w:ascii="Arial" w:hAnsi="Arial" w:cs="Arial"/>
          <w:sz w:val="22"/>
          <w:szCs w:val="22"/>
        </w:rPr>
      </w:pPr>
    </w:p>
    <w:p w14:paraId="266C9777" w14:textId="69F264C3" w:rsidR="00334DFA" w:rsidRPr="00334DFA" w:rsidRDefault="00334DFA" w:rsidP="00773EE7">
      <w:pPr>
        <w:ind w:left="708"/>
        <w:jc w:val="both"/>
        <w:rPr>
          <w:rFonts w:ascii="Arial" w:hAnsi="Arial" w:cs="Arial"/>
          <w:i/>
          <w:iCs/>
          <w:sz w:val="22"/>
          <w:szCs w:val="22"/>
          <w:lang w:val="es-MX"/>
        </w:rPr>
      </w:pPr>
      <w:r w:rsidRPr="00334DFA">
        <w:rPr>
          <w:rFonts w:ascii="Arial" w:hAnsi="Arial" w:cs="Arial"/>
          <w:i/>
          <w:iCs/>
          <w:sz w:val="22"/>
          <w:szCs w:val="22"/>
          <w:lang w:val="es-MX"/>
        </w:rPr>
        <w:lastRenderedPageBreak/>
        <w:t>3.1. Presentación de informe de gestión y emisión de recomendaciones frente a la distribución de recursos de operación del programa vivienda a cargo del Banco Agrario de Colombia.</w:t>
      </w:r>
    </w:p>
    <w:p w14:paraId="6D3C858D" w14:textId="77777777" w:rsidR="00A176F5" w:rsidRPr="00773EE7" w:rsidRDefault="00A176F5" w:rsidP="00773EE7">
      <w:pPr>
        <w:ind w:left="708"/>
        <w:jc w:val="both"/>
        <w:rPr>
          <w:rFonts w:ascii="Arial" w:hAnsi="Arial" w:cs="Arial"/>
          <w:i/>
          <w:iCs/>
          <w:sz w:val="22"/>
          <w:szCs w:val="22"/>
          <w:lang w:val="es-MX"/>
        </w:rPr>
      </w:pPr>
    </w:p>
    <w:p w14:paraId="2EFB7DA2" w14:textId="77A76E39" w:rsidR="00334DFA" w:rsidRPr="00334DFA" w:rsidRDefault="00334DFA" w:rsidP="00773EE7">
      <w:pPr>
        <w:ind w:left="708"/>
        <w:jc w:val="both"/>
        <w:rPr>
          <w:rFonts w:ascii="Arial" w:hAnsi="Arial" w:cs="Arial"/>
          <w:i/>
          <w:iCs/>
          <w:sz w:val="22"/>
          <w:szCs w:val="22"/>
          <w:lang w:val="es-MX"/>
        </w:rPr>
      </w:pPr>
      <w:r w:rsidRPr="00334DFA">
        <w:rPr>
          <w:rFonts w:ascii="Arial" w:hAnsi="Arial" w:cs="Arial"/>
          <w:i/>
          <w:iCs/>
          <w:sz w:val="22"/>
          <w:szCs w:val="22"/>
          <w:lang w:val="es-MX"/>
        </w:rPr>
        <w:t>3.2. Socialización y recomendaciones sobre el acto administrativo “Por la cual se reduce el valor de los recursos a transferir al Banco Agrario de Colombia S.A. destinados a la indexación del subsidio familiar de vivienda de interés social y prioritario rural de que trata la resolución administrativa 00273 de 2023”.</w:t>
      </w:r>
    </w:p>
    <w:p w14:paraId="35694DFC" w14:textId="77777777" w:rsidR="00A176F5" w:rsidRPr="00773EE7" w:rsidRDefault="00A176F5" w:rsidP="00773EE7">
      <w:pPr>
        <w:ind w:left="708"/>
        <w:jc w:val="both"/>
        <w:rPr>
          <w:rFonts w:ascii="Arial" w:hAnsi="Arial" w:cs="Arial"/>
          <w:i/>
          <w:iCs/>
          <w:sz w:val="22"/>
          <w:szCs w:val="22"/>
          <w:lang w:val="es-MX"/>
        </w:rPr>
      </w:pPr>
    </w:p>
    <w:p w14:paraId="010F7BAF" w14:textId="45DC7460" w:rsidR="00334DFA" w:rsidRPr="00334DFA" w:rsidRDefault="00334DFA" w:rsidP="00773EE7">
      <w:pPr>
        <w:ind w:left="708"/>
        <w:jc w:val="both"/>
        <w:rPr>
          <w:rFonts w:ascii="Arial" w:hAnsi="Arial" w:cs="Arial"/>
          <w:sz w:val="22"/>
          <w:szCs w:val="22"/>
          <w:lang w:val="es-MX"/>
        </w:rPr>
      </w:pPr>
      <w:r w:rsidRPr="00334DFA">
        <w:rPr>
          <w:rFonts w:ascii="Arial" w:hAnsi="Arial" w:cs="Arial"/>
          <w:i/>
          <w:iCs/>
          <w:sz w:val="22"/>
          <w:szCs w:val="22"/>
          <w:lang w:val="es-MX"/>
        </w:rPr>
        <w:t>3.3. Presentación del esquema operativo para los subsidios otorgados en la vigencia 2018 – 2019 en la modalidad de autogestión y recomendaciones frente a la distribución de recursos para la vigencia 2025 y 2026.</w:t>
      </w:r>
    </w:p>
    <w:p w14:paraId="32CEB25A" w14:textId="77777777" w:rsidR="00A176F5" w:rsidRDefault="00A176F5" w:rsidP="00334DFA">
      <w:pPr>
        <w:jc w:val="both"/>
        <w:rPr>
          <w:rFonts w:ascii="Arial" w:hAnsi="Arial" w:cs="Arial"/>
          <w:sz w:val="22"/>
          <w:szCs w:val="22"/>
          <w:lang w:val="es-MX"/>
        </w:rPr>
      </w:pPr>
    </w:p>
    <w:p w14:paraId="6002368A" w14:textId="4098989A" w:rsidR="00A176F5" w:rsidRDefault="00334DFA" w:rsidP="00334DFA">
      <w:pPr>
        <w:jc w:val="both"/>
        <w:rPr>
          <w:rFonts w:ascii="Arial" w:hAnsi="Arial" w:cs="Arial"/>
          <w:sz w:val="22"/>
          <w:szCs w:val="22"/>
          <w:lang w:val="es-MX"/>
        </w:rPr>
      </w:pPr>
      <w:r>
        <w:rPr>
          <w:rFonts w:ascii="Arial" w:hAnsi="Arial" w:cs="Arial"/>
          <w:sz w:val="22"/>
          <w:szCs w:val="22"/>
          <w:lang w:val="es-MX"/>
        </w:rPr>
        <w:t>Lo anterior</w:t>
      </w:r>
      <w:r w:rsidR="00773EE7">
        <w:rPr>
          <w:rFonts w:ascii="Arial" w:hAnsi="Arial" w:cs="Arial"/>
          <w:sz w:val="22"/>
          <w:szCs w:val="22"/>
          <w:lang w:val="es-MX"/>
        </w:rPr>
        <w:t>,</w:t>
      </w:r>
      <w:r>
        <w:rPr>
          <w:rFonts w:ascii="Arial" w:hAnsi="Arial" w:cs="Arial"/>
          <w:sz w:val="22"/>
          <w:szCs w:val="22"/>
          <w:lang w:val="es-MX"/>
        </w:rPr>
        <w:t xml:space="preserve"> de acuerdo a las funciones que le fueron asignadas por parte </w:t>
      </w:r>
      <w:r w:rsidR="00A176F5">
        <w:rPr>
          <w:rFonts w:ascii="Arial" w:hAnsi="Arial" w:cs="Arial"/>
          <w:sz w:val="22"/>
          <w:szCs w:val="22"/>
          <w:lang w:val="es-MX"/>
        </w:rPr>
        <w:t>el</w:t>
      </w:r>
      <w:r w:rsidRPr="00334DFA">
        <w:rPr>
          <w:rFonts w:ascii="Arial" w:hAnsi="Arial" w:cs="Arial"/>
          <w:sz w:val="22"/>
          <w:szCs w:val="22"/>
          <w:lang w:val="es-MX"/>
        </w:rPr>
        <w:t> Decreto 2243 de 2005</w:t>
      </w:r>
      <w:r w:rsidR="00A176F5">
        <w:rPr>
          <w:rFonts w:ascii="Arial" w:hAnsi="Arial" w:cs="Arial"/>
          <w:sz w:val="22"/>
          <w:szCs w:val="22"/>
          <w:lang w:val="es-MX"/>
        </w:rPr>
        <w:t xml:space="preserve">, </w:t>
      </w:r>
      <w:r w:rsidR="00773EE7">
        <w:rPr>
          <w:rFonts w:ascii="Arial" w:hAnsi="Arial" w:cs="Arial"/>
          <w:sz w:val="22"/>
          <w:szCs w:val="22"/>
          <w:lang w:val="es-MX"/>
        </w:rPr>
        <w:t xml:space="preserve">en cuyo artículo 3 establece lo siguiente: </w:t>
      </w:r>
    </w:p>
    <w:p w14:paraId="14C39DD1" w14:textId="77777777" w:rsidR="00773EE7" w:rsidRPr="00334DFA" w:rsidRDefault="00773EE7" w:rsidP="00334DFA">
      <w:pPr>
        <w:jc w:val="both"/>
        <w:rPr>
          <w:rFonts w:ascii="Arial" w:hAnsi="Arial" w:cs="Arial"/>
          <w:sz w:val="22"/>
          <w:szCs w:val="22"/>
          <w:lang w:val="es-MX"/>
        </w:rPr>
      </w:pPr>
    </w:p>
    <w:p w14:paraId="4E8CD3A2" w14:textId="2F8A0569" w:rsidR="00334DFA" w:rsidRDefault="00334DFA" w:rsidP="00773EE7">
      <w:pPr>
        <w:ind w:left="708"/>
        <w:jc w:val="both"/>
        <w:rPr>
          <w:rFonts w:ascii="Arial" w:hAnsi="Arial" w:cs="Arial"/>
          <w:sz w:val="22"/>
          <w:szCs w:val="22"/>
          <w:lang w:val="es-MX"/>
        </w:rPr>
      </w:pPr>
      <w:r w:rsidRPr="00334DFA">
        <w:rPr>
          <w:rFonts w:ascii="Arial" w:hAnsi="Arial" w:cs="Arial"/>
          <w:i/>
          <w:iCs/>
          <w:sz w:val="22"/>
          <w:szCs w:val="22"/>
          <w:lang w:val="es-MX"/>
        </w:rPr>
        <w:t xml:space="preserve">"ARTÍCULO 3°. FUNCIONES. Son funciones de la Comisión Intersectorial de Vivienda de Interés Social Rural: 1. Recomendar al Ministerio de Agricultura y Desarrollo Rural, como entidad responsable de dirigir la ejecución de la </w:t>
      </w:r>
      <w:r w:rsidRPr="00334DFA">
        <w:rPr>
          <w:rFonts w:ascii="Arial" w:hAnsi="Arial" w:cs="Arial"/>
          <w:sz w:val="22"/>
          <w:szCs w:val="22"/>
          <w:lang w:val="es-MX"/>
        </w:rPr>
        <w:t>política</w:t>
      </w:r>
      <w:r w:rsidRPr="00334DFA">
        <w:rPr>
          <w:rFonts w:ascii="Arial" w:hAnsi="Arial" w:cs="Arial"/>
          <w:i/>
          <w:iCs/>
          <w:sz w:val="22"/>
          <w:szCs w:val="22"/>
          <w:lang w:val="es-MX"/>
        </w:rPr>
        <w:t xml:space="preserve"> de vivienda de interés social rural, la priorización y distribución de los recursos de la Bolsa Sectorial para cada convocatoria, según la demanda de recursos que exista en cada uno de los programas sectoriales y atendiendo las prioridades del Gobierno Nacional". 2. Orientar la ejecución de la política de vivienda de interés social rural y recomendar los ajustes pertinentes para el logro de sus metas y objetivos."  (Negri</w:t>
      </w:r>
      <w:r w:rsidRPr="00334DFA">
        <w:rPr>
          <w:rFonts w:ascii="Arial" w:hAnsi="Arial" w:cs="Arial"/>
          <w:sz w:val="22"/>
          <w:szCs w:val="22"/>
          <w:lang w:val="es-MX"/>
        </w:rPr>
        <w:t>lla fuera de texto).</w:t>
      </w:r>
    </w:p>
    <w:p w14:paraId="313C8A95" w14:textId="77777777" w:rsidR="00A176F5" w:rsidRDefault="00A176F5" w:rsidP="00334DFA">
      <w:pPr>
        <w:rPr>
          <w:rFonts w:ascii="Arial" w:hAnsi="Arial" w:cs="Arial"/>
          <w:sz w:val="22"/>
          <w:szCs w:val="22"/>
          <w:lang w:val="es-MX"/>
        </w:rPr>
      </w:pPr>
    </w:p>
    <w:p w14:paraId="4BAAA894" w14:textId="2E7764F4" w:rsidR="003F1816" w:rsidRPr="00BC0F32" w:rsidRDefault="00A176F5" w:rsidP="003F1816">
      <w:pPr>
        <w:jc w:val="both"/>
        <w:rPr>
          <w:rFonts w:ascii="Arial" w:hAnsi="Arial" w:cs="Arial"/>
          <w:sz w:val="22"/>
          <w:szCs w:val="22"/>
        </w:rPr>
      </w:pPr>
      <w:r w:rsidRPr="00BC0F32">
        <w:rPr>
          <w:rFonts w:ascii="Arial" w:hAnsi="Arial" w:cs="Arial"/>
          <w:sz w:val="22"/>
          <w:szCs w:val="22"/>
        </w:rPr>
        <w:t xml:space="preserve">En dicha sesión se ajustó el orden del día </w:t>
      </w:r>
      <w:r w:rsidR="003F1816" w:rsidRPr="00BC0F32">
        <w:rPr>
          <w:rFonts w:ascii="Arial" w:hAnsi="Arial" w:cs="Arial"/>
          <w:sz w:val="22"/>
          <w:szCs w:val="22"/>
        </w:rPr>
        <w:t>quedando el numeral: “</w:t>
      </w:r>
      <w:r w:rsidR="003F1816" w:rsidRPr="00334DFA">
        <w:rPr>
          <w:rFonts w:ascii="Arial" w:hAnsi="Arial" w:cs="Arial"/>
          <w:sz w:val="22"/>
          <w:szCs w:val="22"/>
        </w:rPr>
        <w:t>3.1. Presentación de informe de gestión y emisión de recomendaciones frente a la distribución de recursos de operación del programa vivienda a cargo del Banco Agrario de Colombia.</w:t>
      </w:r>
      <w:r w:rsidR="003F1816" w:rsidRPr="00BC0F32">
        <w:rPr>
          <w:rFonts w:ascii="Arial" w:hAnsi="Arial" w:cs="Arial"/>
          <w:sz w:val="22"/>
          <w:szCs w:val="22"/>
        </w:rPr>
        <w:t>” El cual recibió una recomendación favorable y el punto “</w:t>
      </w:r>
      <w:r w:rsidR="003F1816" w:rsidRPr="00334DFA">
        <w:rPr>
          <w:rFonts w:ascii="Arial" w:hAnsi="Arial" w:cs="Arial"/>
          <w:sz w:val="22"/>
          <w:szCs w:val="22"/>
        </w:rPr>
        <w:t>3.3. Presentación del esquema operativo para los subsidios otorgados en la vigencia 2018 – 2019 en la modalidad de autogestión y recomendaciones frente a la distribución de recursos para la vigencia 2025 y 2026.</w:t>
      </w:r>
      <w:r w:rsidR="008F054A" w:rsidRPr="00BC0F32">
        <w:rPr>
          <w:rFonts w:ascii="Arial" w:hAnsi="Arial" w:cs="Arial"/>
          <w:sz w:val="22"/>
          <w:szCs w:val="22"/>
        </w:rPr>
        <w:t xml:space="preserve">” Sobre el cual la Comisión se dio como informada. </w:t>
      </w:r>
    </w:p>
    <w:p w14:paraId="0BCE03F9" w14:textId="77777777" w:rsidR="008F054A" w:rsidRPr="00BC0F32" w:rsidRDefault="008F054A" w:rsidP="003F1816">
      <w:pPr>
        <w:jc w:val="both"/>
        <w:rPr>
          <w:rFonts w:ascii="Arial" w:hAnsi="Arial" w:cs="Arial"/>
          <w:sz w:val="22"/>
          <w:szCs w:val="22"/>
        </w:rPr>
      </w:pPr>
    </w:p>
    <w:p w14:paraId="166BEE13" w14:textId="410FB8FB" w:rsidR="00EB5815" w:rsidRPr="00BC0F32" w:rsidRDefault="008F054A" w:rsidP="00EB5815">
      <w:pPr>
        <w:jc w:val="both"/>
        <w:rPr>
          <w:rFonts w:ascii="Arial" w:hAnsi="Arial" w:cs="Arial"/>
          <w:sz w:val="22"/>
          <w:szCs w:val="22"/>
        </w:rPr>
      </w:pPr>
      <w:r w:rsidRPr="00BC0F32">
        <w:rPr>
          <w:rFonts w:ascii="Arial" w:hAnsi="Arial" w:cs="Arial"/>
          <w:sz w:val="22"/>
          <w:szCs w:val="22"/>
        </w:rPr>
        <w:t xml:space="preserve">Como </w:t>
      </w:r>
      <w:r w:rsidR="00EB5815" w:rsidRPr="00BC0F32">
        <w:rPr>
          <w:rFonts w:ascii="Arial" w:hAnsi="Arial" w:cs="Arial"/>
          <w:sz w:val="22"/>
          <w:szCs w:val="22"/>
        </w:rPr>
        <w:t xml:space="preserve">propuestas para la próxima sesión se recibieron las siguientes en el punto de proposiciones y varios: </w:t>
      </w:r>
    </w:p>
    <w:p w14:paraId="1DC5C954" w14:textId="77777777" w:rsidR="00EB5815" w:rsidRPr="00BC0F32" w:rsidRDefault="00EB5815" w:rsidP="00EB5815">
      <w:pPr>
        <w:jc w:val="both"/>
        <w:rPr>
          <w:rFonts w:ascii="Arial" w:hAnsi="Arial" w:cs="Arial"/>
          <w:sz w:val="22"/>
          <w:szCs w:val="22"/>
        </w:rPr>
      </w:pPr>
    </w:p>
    <w:p w14:paraId="0DADE4B1" w14:textId="288DD576" w:rsidR="00EB5815" w:rsidRPr="00BC0F32" w:rsidRDefault="00EB5815" w:rsidP="00EB5815">
      <w:pPr>
        <w:jc w:val="both"/>
        <w:rPr>
          <w:rFonts w:ascii="Arial" w:hAnsi="Arial" w:cs="Arial"/>
          <w:sz w:val="22"/>
          <w:szCs w:val="22"/>
        </w:rPr>
      </w:pPr>
      <w:r w:rsidRPr="00BC0F32">
        <w:rPr>
          <w:rFonts w:ascii="Arial" w:hAnsi="Arial" w:cs="Arial"/>
          <w:sz w:val="22"/>
          <w:szCs w:val="22"/>
        </w:rPr>
        <w:t>· Informe Ejecutivo Subsidios 2018 y 2019. Presentar el estado general de los subsidios otorgados durante las vigencias 2018 y 2019 en un informe ejecutivo. Es necesario que se presente un énfasis sobre el universo de las víctimas que fueron objeto de la auditoría y que no recibieron el subsidio, con el fin de avanzar en la definición de posibles rutas a futuro.</w:t>
      </w:r>
    </w:p>
    <w:p w14:paraId="632B162B" w14:textId="77777777" w:rsidR="00EB5815" w:rsidRPr="00BC0F32" w:rsidRDefault="00EB5815" w:rsidP="00EB5815">
      <w:pPr>
        <w:jc w:val="both"/>
        <w:rPr>
          <w:rFonts w:ascii="Arial" w:hAnsi="Arial" w:cs="Arial"/>
          <w:sz w:val="22"/>
          <w:szCs w:val="22"/>
        </w:rPr>
      </w:pPr>
    </w:p>
    <w:p w14:paraId="06FE4E7C" w14:textId="77777777" w:rsidR="00EB5815" w:rsidRPr="00BC0F32" w:rsidRDefault="00EB5815" w:rsidP="00EB5815">
      <w:pPr>
        <w:jc w:val="both"/>
        <w:rPr>
          <w:rFonts w:ascii="Arial" w:hAnsi="Arial" w:cs="Arial"/>
          <w:sz w:val="22"/>
          <w:szCs w:val="22"/>
        </w:rPr>
      </w:pPr>
      <w:r w:rsidRPr="00BC0F32">
        <w:rPr>
          <w:rFonts w:ascii="Arial" w:hAnsi="Arial" w:cs="Arial"/>
          <w:sz w:val="22"/>
          <w:szCs w:val="22"/>
        </w:rPr>
        <w:t>· Se solicitó ver en la sesión de enero, presentar los avances de la auditoría frente a los subsidios de 2000 a 2017 para articular una ruta de trabajo en la materialización de subsidios y recomendaciones en la materia.</w:t>
      </w:r>
    </w:p>
    <w:p w14:paraId="09300F33" w14:textId="77777777" w:rsidR="00EB5815" w:rsidRPr="00BC0F32" w:rsidRDefault="00EB5815" w:rsidP="00EB5815">
      <w:pPr>
        <w:jc w:val="both"/>
        <w:rPr>
          <w:rFonts w:ascii="Arial" w:hAnsi="Arial" w:cs="Arial"/>
          <w:sz w:val="22"/>
          <w:szCs w:val="22"/>
        </w:rPr>
      </w:pPr>
    </w:p>
    <w:p w14:paraId="399E6473" w14:textId="13C3D87E" w:rsidR="00FD59D3" w:rsidRPr="00BC0F32" w:rsidRDefault="00EB5815" w:rsidP="00EB5815">
      <w:pPr>
        <w:jc w:val="both"/>
        <w:rPr>
          <w:rFonts w:ascii="Arial" w:hAnsi="Arial" w:cs="Arial"/>
          <w:sz w:val="22"/>
          <w:szCs w:val="22"/>
        </w:rPr>
      </w:pPr>
      <w:r w:rsidRPr="00BC0F32">
        <w:rPr>
          <w:rFonts w:ascii="Arial" w:hAnsi="Arial" w:cs="Arial"/>
          <w:sz w:val="22"/>
          <w:szCs w:val="22"/>
        </w:rPr>
        <w:t xml:space="preserve">· Aclaración de Recursos de la vigencia 2025: Aclarar la destinación del valor disponible (un poco más de $1.000 millones de pesos) de la diferencia entre lo autorizado y lo relacionado </w:t>
      </w:r>
      <w:r w:rsidRPr="00BC0F32">
        <w:rPr>
          <w:rFonts w:ascii="Arial" w:hAnsi="Arial" w:cs="Arial"/>
          <w:sz w:val="22"/>
          <w:szCs w:val="22"/>
        </w:rPr>
        <w:lastRenderedPageBreak/>
        <w:t>con los 60 subsidios y los 2.300 millones de pesos presentados, indicando si se reintegra o se le da otra destinación en la próxima sesión.</w:t>
      </w:r>
    </w:p>
    <w:p w14:paraId="6FA584CE" w14:textId="77777777" w:rsidR="00EB5815" w:rsidRPr="00EB5815" w:rsidRDefault="00EB5815" w:rsidP="00EB5815">
      <w:pPr>
        <w:rPr>
          <w:lang w:val="es-MX"/>
        </w:rPr>
      </w:pPr>
    </w:p>
    <w:p w14:paraId="60F68F56" w14:textId="77777777" w:rsidR="00CB71B7" w:rsidRDefault="00CB71B7" w:rsidP="005F760B">
      <w:pPr>
        <w:pStyle w:val="Ttulo1"/>
        <w:numPr>
          <w:ilvl w:val="0"/>
          <w:numId w:val="7"/>
        </w:numPr>
        <w:spacing w:before="0"/>
        <w:rPr>
          <w:rFonts w:ascii="Arial" w:hAnsi="Arial" w:cs="Arial"/>
          <w:b/>
          <w:bCs/>
          <w:color w:val="385623" w:themeColor="accent6" w:themeShade="80"/>
          <w:sz w:val="22"/>
          <w:szCs w:val="22"/>
        </w:rPr>
      </w:pPr>
      <w:bookmarkStart w:id="42" w:name="_Toc225874794"/>
      <w:r>
        <w:rPr>
          <w:rFonts w:ascii="Arial" w:hAnsi="Arial" w:cs="Arial"/>
          <w:b/>
          <w:bCs/>
          <w:color w:val="385623" w:themeColor="accent6" w:themeShade="80"/>
          <w:sz w:val="22"/>
          <w:szCs w:val="22"/>
        </w:rPr>
        <w:t>DIALOGO SOCIAL</w:t>
      </w:r>
      <w:bookmarkEnd w:id="42"/>
    </w:p>
    <w:p w14:paraId="20B7BAC2" w14:textId="77777777" w:rsidR="00CB71B7" w:rsidRDefault="00CB71B7" w:rsidP="00CB71B7">
      <w:pPr>
        <w:pStyle w:val="Ttulo1"/>
        <w:spacing w:before="0"/>
        <w:rPr>
          <w:rFonts w:ascii="Arial" w:hAnsi="Arial" w:cs="Arial"/>
          <w:b/>
          <w:bCs/>
          <w:color w:val="385623" w:themeColor="accent6" w:themeShade="80"/>
          <w:sz w:val="22"/>
          <w:szCs w:val="22"/>
        </w:rPr>
      </w:pPr>
    </w:p>
    <w:p w14:paraId="1DDCA075" w14:textId="2F7D03E2" w:rsidR="00633D20" w:rsidRDefault="00213B0C" w:rsidP="004C09F5">
      <w:pPr>
        <w:jc w:val="both"/>
        <w:rPr>
          <w:rFonts w:ascii="Arial" w:hAnsi="Arial" w:cs="Arial"/>
          <w:sz w:val="22"/>
          <w:szCs w:val="22"/>
        </w:rPr>
      </w:pPr>
      <w:r w:rsidRPr="00213B0C">
        <w:rPr>
          <w:rFonts w:ascii="Arial" w:hAnsi="Arial" w:cs="Arial"/>
          <w:color w:val="EE0000"/>
          <w:sz w:val="22"/>
          <w:szCs w:val="22"/>
        </w:rPr>
        <w:t xml:space="preserve">SERGIO – CATALINA </w:t>
      </w:r>
      <w:r w:rsidR="00F6787F" w:rsidRPr="004C09F5">
        <w:rPr>
          <w:rFonts w:ascii="Arial" w:hAnsi="Arial" w:cs="Arial"/>
          <w:sz w:val="22"/>
          <w:szCs w:val="22"/>
        </w:rPr>
        <w:t xml:space="preserve">A lo largo de la vigencia 2025, la Dirección de Gestión de Bienes públicos rurales enfocó sus esfuerzos en el recaudo de información consolidada </w:t>
      </w:r>
      <w:r w:rsidR="004C09F5">
        <w:rPr>
          <w:rFonts w:ascii="Arial" w:hAnsi="Arial" w:cs="Arial"/>
          <w:sz w:val="22"/>
          <w:szCs w:val="22"/>
        </w:rPr>
        <w:t>diálogo social</w:t>
      </w:r>
      <w:r w:rsidR="00F6787F" w:rsidRPr="004C09F5">
        <w:rPr>
          <w:rFonts w:ascii="Arial" w:hAnsi="Arial" w:cs="Arial"/>
          <w:sz w:val="22"/>
          <w:szCs w:val="22"/>
        </w:rPr>
        <w:t>,</w:t>
      </w:r>
      <w:r w:rsidR="004C09F5">
        <w:rPr>
          <w:rFonts w:ascii="Arial" w:hAnsi="Arial" w:cs="Arial"/>
          <w:sz w:val="22"/>
          <w:szCs w:val="22"/>
        </w:rPr>
        <w:t xml:space="preserve"> para asegurar que se </w:t>
      </w:r>
      <w:proofErr w:type="spellStart"/>
      <w:r w:rsidR="004C09F5">
        <w:rPr>
          <w:rFonts w:ascii="Arial" w:hAnsi="Arial" w:cs="Arial"/>
          <w:sz w:val="22"/>
          <w:szCs w:val="22"/>
        </w:rPr>
        <w:t>de</w:t>
      </w:r>
      <w:proofErr w:type="spellEnd"/>
      <w:r w:rsidR="004C09F5">
        <w:rPr>
          <w:rFonts w:ascii="Arial" w:hAnsi="Arial" w:cs="Arial"/>
          <w:sz w:val="22"/>
          <w:szCs w:val="22"/>
        </w:rPr>
        <w:t xml:space="preserve"> cumplimiento a la programación y los compromisos adquiridos con las diversas comunidades en materia de vivienda de interés social rural</w:t>
      </w:r>
      <w:r w:rsidR="00633D20">
        <w:rPr>
          <w:rFonts w:ascii="Arial" w:hAnsi="Arial" w:cs="Arial"/>
          <w:sz w:val="22"/>
          <w:szCs w:val="22"/>
        </w:rPr>
        <w:t xml:space="preserve">. Sobre el particular </w:t>
      </w:r>
      <w:r w:rsidR="00F6787F" w:rsidRPr="004C09F5">
        <w:rPr>
          <w:rFonts w:ascii="Arial" w:hAnsi="Arial" w:cs="Arial"/>
          <w:sz w:val="22"/>
          <w:szCs w:val="22"/>
        </w:rPr>
        <w:t xml:space="preserve">se identifican las siguientes comunidades, en las cuales se enfocará gestión </w:t>
      </w:r>
      <w:r w:rsidR="00633D20">
        <w:rPr>
          <w:rFonts w:ascii="Arial" w:hAnsi="Arial" w:cs="Arial"/>
          <w:sz w:val="22"/>
          <w:szCs w:val="22"/>
        </w:rPr>
        <w:t xml:space="preserve">específica de seguimiento y planeación </w:t>
      </w:r>
      <w:r w:rsidR="00F6787F" w:rsidRPr="004C09F5">
        <w:rPr>
          <w:rFonts w:ascii="Arial" w:hAnsi="Arial" w:cs="Arial"/>
          <w:sz w:val="22"/>
          <w:szCs w:val="22"/>
        </w:rPr>
        <w:t>a lo largo de</w:t>
      </w:r>
      <w:r w:rsidR="00633D20">
        <w:rPr>
          <w:rFonts w:ascii="Arial" w:hAnsi="Arial" w:cs="Arial"/>
          <w:sz w:val="22"/>
          <w:szCs w:val="22"/>
        </w:rPr>
        <w:t xml:space="preserve"> </w:t>
      </w:r>
      <w:r w:rsidR="00F6787F" w:rsidRPr="004C09F5">
        <w:rPr>
          <w:rFonts w:ascii="Arial" w:hAnsi="Arial" w:cs="Arial"/>
          <w:sz w:val="22"/>
          <w:szCs w:val="22"/>
        </w:rPr>
        <w:t>l</w:t>
      </w:r>
      <w:r w:rsidR="00633D20">
        <w:rPr>
          <w:rFonts w:ascii="Arial" w:hAnsi="Arial" w:cs="Arial"/>
          <w:sz w:val="22"/>
          <w:szCs w:val="22"/>
        </w:rPr>
        <w:t>a</w:t>
      </w:r>
      <w:r w:rsidR="00F6787F" w:rsidRPr="004C09F5">
        <w:rPr>
          <w:rFonts w:ascii="Arial" w:hAnsi="Arial" w:cs="Arial"/>
          <w:sz w:val="22"/>
          <w:szCs w:val="22"/>
        </w:rPr>
        <w:t xml:space="preserve"> </w:t>
      </w:r>
      <w:r w:rsidR="00633D20">
        <w:rPr>
          <w:rFonts w:ascii="Arial" w:hAnsi="Arial" w:cs="Arial"/>
          <w:sz w:val="22"/>
          <w:szCs w:val="22"/>
        </w:rPr>
        <w:t xml:space="preserve">vigencia </w:t>
      </w:r>
      <w:r w:rsidR="00F6787F" w:rsidRPr="004C09F5">
        <w:rPr>
          <w:rFonts w:ascii="Arial" w:hAnsi="Arial" w:cs="Arial"/>
          <w:sz w:val="22"/>
          <w:szCs w:val="22"/>
        </w:rPr>
        <w:t>2026</w:t>
      </w:r>
      <w:r w:rsidR="00633D20">
        <w:rPr>
          <w:rFonts w:ascii="Arial" w:hAnsi="Arial" w:cs="Arial"/>
          <w:sz w:val="22"/>
          <w:szCs w:val="22"/>
        </w:rPr>
        <w:t xml:space="preserve">. </w:t>
      </w:r>
    </w:p>
    <w:p w14:paraId="26F8D5F8" w14:textId="77777777" w:rsidR="00633D20" w:rsidRDefault="00633D20" w:rsidP="004C09F5">
      <w:pPr>
        <w:jc w:val="both"/>
        <w:rPr>
          <w:rFonts w:ascii="Arial" w:hAnsi="Arial" w:cs="Arial"/>
          <w:sz w:val="22"/>
          <w:szCs w:val="22"/>
        </w:rPr>
      </w:pPr>
    </w:p>
    <w:p w14:paraId="149B2C2F" w14:textId="0DBFBB98" w:rsidR="00F6787F" w:rsidRDefault="00F6787F" w:rsidP="004C09F5">
      <w:pPr>
        <w:jc w:val="both"/>
        <w:rPr>
          <w:rFonts w:ascii="Arial" w:hAnsi="Arial" w:cs="Arial"/>
          <w:sz w:val="22"/>
          <w:szCs w:val="22"/>
        </w:rPr>
      </w:pPr>
      <w:r w:rsidRPr="004C09F5">
        <w:rPr>
          <w:rFonts w:ascii="Arial" w:hAnsi="Arial" w:cs="Arial"/>
          <w:sz w:val="22"/>
          <w:szCs w:val="22"/>
        </w:rPr>
        <w:t xml:space="preserve"> </w:t>
      </w:r>
      <w:r w:rsidR="00D73D64">
        <w:rPr>
          <w:rFonts w:ascii="Arial" w:hAnsi="Arial" w:cs="Arial"/>
          <w:sz w:val="22"/>
          <w:szCs w:val="22"/>
        </w:rPr>
        <w:t xml:space="preserve">Para el caso de las vigencias de 2000 al 2017 se tiene lo siguiente: </w:t>
      </w:r>
    </w:p>
    <w:p w14:paraId="1A914E63" w14:textId="77777777" w:rsidR="00D73D64" w:rsidRDefault="00D73D64" w:rsidP="004C09F5">
      <w:pPr>
        <w:jc w:val="both"/>
        <w:rPr>
          <w:rFonts w:ascii="Arial" w:hAnsi="Arial" w:cs="Arial"/>
          <w:sz w:val="22"/>
          <w:szCs w:val="22"/>
        </w:rPr>
      </w:pPr>
    </w:p>
    <w:p w14:paraId="741A4017" w14:textId="2E19A0BA" w:rsidR="00636391" w:rsidRPr="00636391" w:rsidRDefault="00D73D64" w:rsidP="00636391">
      <w:pPr>
        <w:pStyle w:val="Prrafodelista"/>
        <w:numPr>
          <w:ilvl w:val="0"/>
          <w:numId w:val="20"/>
        </w:numPr>
        <w:jc w:val="both"/>
        <w:rPr>
          <w:rFonts w:ascii="Arial" w:hAnsi="Arial" w:cs="Arial"/>
          <w:sz w:val="22"/>
          <w:szCs w:val="22"/>
        </w:rPr>
      </w:pPr>
      <w:r w:rsidRPr="00636391">
        <w:rPr>
          <w:rFonts w:ascii="Arial" w:hAnsi="Arial" w:cs="Arial"/>
          <w:sz w:val="22"/>
          <w:szCs w:val="22"/>
        </w:rPr>
        <w:t xml:space="preserve">CRIC, la asignación de subsidios VISR para esta comunidad es de 1.997 SFVISR, de los cuales se encuentran terminadas 1.504 SFVISR, en trámite de para ejecución 6 SFVISR, 1 SFVISR en conciliación y por cierre financiero 486 SFVISR. </w:t>
      </w:r>
    </w:p>
    <w:p w14:paraId="4E799B36" w14:textId="77777777" w:rsidR="00636391" w:rsidRDefault="00636391" w:rsidP="00636391">
      <w:pPr>
        <w:pStyle w:val="Prrafodelista"/>
        <w:jc w:val="both"/>
        <w:rPr>
          <w:rFonts w:ascii="Arial" w:hAnsi="Arial" w:cs="Arial"/>
          <w:sz w:val="22"/>
          <w:szCs w:val="22"/>
        </w:rPr>
      </w:pPr>
    </w:p>
    <w:p w14:paraId="538D4DF3" w14:textId="75DED5EA" w:rsidR="00D73D64" w:rsidRPr="00EF249F" w:rsidRDefault="00D73D64" w:rsidP="00EF249F">
      <w:pPr>
        <w:jc w:val="both"/>
        <w:rPr>
          <w:rFonts w:ascii="Arial" w:hAnsi="Arial" w:cs="Arial"/>
          <w:sz w:val="22"/>
          <w:szCs w:val="22"/>
        </w:rPr>
      </w:pPr>
      <w:r w:rsidRPr="00EF249F">
        <w:rPr>
          <w:rFonts w:ascii="Arial" w:hAnsi="Arial" w:cs="Arial"/>
          <w:sz w:val="22"/>
          <w:szCs w:val="22"/>
        </w:rPr>
        <w:t>De las anteriores 486 SFVISR, se realiza la priorización para</w:t>
      </w:r>
      <w:r w:rsidR="00636391" w:rsidRPr="00EF249F">
        <w:rPr>
          <w:rFonts w:ascii="Arial" w:hAnsi="Arial" w:cs="Arial"/>
          <w:sz w:val="22"/>
          <w:szCs w:val="22"/>
        </w:rPr>
        <w:t xml:space="preserve"> </w:t>
      </w:r>
      <w:r w:rsidRPr="00EF249F">
        <w:rPr>
          <w:rFonts w:ascii="Arial" w:hAnsi="Arial" w:cs="Arial"/>
          <w:sz w:val="22"/>
          <w:szCs w:val="22"/>
        </w:rPr>
        <w:t>323 SFVISR que se encuentran inmersas en la Resolución 490 de 2023 como programación</w:t>
      </w:r>
      <w:r w:rsidR="00636391" w:rsidRPr="00EF249F">
        <w:rPr>
          <w:rFonts w:ascii="Arial" w:hAnsi="Arial" w:cs="Arial"/>
          <w:sz w:val="22"/>
          <w:szCs w:val="22"/>
        </w:rPr>
        <w:t xml:space="preserve"> </w:t>
      </w:r>
      <w:r w:rsidRPr="00EF249F">
        <w:rPr>
          <w:rFonts w:ascii="Arial" w:hAnsi="Arial" w:cs="Arial"/>
          <w:sz w:val="22"/>
          <w:szCs w:val="22"/>
        </w:rPr>
        <w:t>presupuestal</w:t>
      </w:r>
      <w:r w:rsidR="00EF249F" w:rsidRPr="00EF249F">
        <w:rPr>
          <w:rFonts w:ascii="Arial" w:hAnsi="Arial" w:cs="Arial"/>
          <w:sz w:val="22"/>
          <w:szCs w:val="22"/>
        </w:rPr>
        <w:t xml:space="preserve">. </w:t>
      </w:r>
    </w:p>
    <w:p w14:paraId="2AE5C89F" w14:textId="77777777" w:rsidR="00EF249F" w:rsidRDefault="00EF249F" w:rsidP="00D73D64">
      <w:pPr>
        <w:jc w:val="both"/>
        <w:rPr>
          <w:rFonts w:ascii="Arial" w:hAnsi="Arial" w:cs="Arial"/>
          <w:sz w:val="22"/>
          <w:szCs w:val="22"/>
        </w:rPr>
      </w:pPr>
    </w:p>
    <w:p w14:paraId="627F1CEC" w14:textId="27BD92BA" w:rsidR="00D73D64" w:rsidRDefault="00D73D64" w:rsidP="00D73D64">
      <w:pPr>
        <w:jc w:val="both"/>
        <w:rPr>
          <w:rFonts w:ascii="Arial" w:hAnsi="Arial" w:cs="Arial"/>
          <w:sz w:val="22"/>
          <w:szCs w:val="22"/>
        </w:rPr>
      </w:pPr>
      <w:r w:rsidRPr="00D73D64">
        <w:rPr>
          <w:rFonts w:ascii="Arial" w:hAnsi="Arial" w:cs="Arial"/>
          <w:sz w:val="22"/>
          <w:szCs w:val="22"/>
        </w:rPr>
        <w:t>Del saldo correspondiente a 163, se realiza proyección de recursos para 150 SFVISR que se encuentran ubicados en zona del cañón del Micay en tipología de Mejoramientos de vivienda para los cuales y</w:t>
      </w:r>
      <w:r w:rsidR="00EF249F">
        <w:rPr>
          <w:rFonts w:ascii="Arial" w:hAnsi="Arial" w:cs="Arial"/>
          <w:sz w:val="22"/>
          <w:szCs w:val="22"/>
        </w:rPr>
        <w:t xml:space="preserve"> </w:t>
      </w:r>
      <w:r w:rsidRPr="00D73D64">
        <w:rPr>
          <w:rFonts w:ascii="Arial" w:hAnsi="Arial" w:cs="Arial"/>
          <w:sz w:val="22"/>
          <w:szCs w:val="22"/>
        </w:rPr>
        <w:t>adicional a las situaciones de Orden Público, la Gerencia Integral No.265 en la que se encuentran</w:t>
      </w:r>
      <w:r w:rsidR="00EF249F">
        <w:rPr>
          <w:rFonts w:ascii="Arial" w:hAnsi="Arial" w:cs="Arial"/>
          <w:sz w:val="22"/>
          <w:szCs w:val="22"/>
        </w:rPr>
        <w:t xml:space="preserve"> </w:t>
      </w:r>
      <w:r w:rsidRPr="00D73D64">
        <w:rPr>
          <w:rFonts w:ascii="Arial" w:hAnsi="Arial" w:cs="Arial"/>
          <w:sz w:val="22"/>
          <w:szCs w:val="22"/>
        </w:rPr>
        <w:t>asignadas identifico las siguientes situaciones para 150 SFVISR (19 beneficiarios fallecidos, 42 predios</w:t>
      </w:r>
      <w:r w:rsidR="00EF249F">
        <w:rPr>
          <w:rFonts w:ascii="Arial" w:hAnsi="Arial" w:cs="Arial"/>
          <w:sz w:val="22"/>
          <w:szCs w:val="22"/>
        </w:rPr>
        <w:t xml:space="preserve"> </w:t>
      </w:r>
      <w:r w:rsidRPr="00D73D64">
        <w:rPr>
          <w:rFonts w:ascii="Arial" w:hAnsi="Arial" w:cs="Arial"/>
          <w:sz w:val="22"/>
          <w:szCs w:val="22"/>
        </w:rPr>
        <w:t>inviables, 45 no localizados, 20 renuncias, 24 sin cierre financiero por transporte.</w:t>
      </w:r>
    </w:p>
    <w:p w14:paraId="1B6B4952" w14:textId="77777777" w:rsidR="00DB0AE5" w:rsidRDefault="00DB0AE5" w:rsidP="00D73D64">
      <w:pPr>
        <w:jc w:val="both"/>
        <w:rPr>
          <w:rFonts w:ascii="Arial" w:hAnsi="Arial" w:cs="Arial"/>
          <w:sz w:val="22"/>
          <w:szCs w:val="22"/>
        </w:rPr>
      </w:pPr>
    </w:p>
    <w:p w14:paraId="0B1B8C82" w14:textId="31289343" w:rsidR="00DB0AE5" w:rsidRPr="004C09F5" w:rsidRDefault="00DB0AE5" w:rsidP="00DB0AE5">
      <w:pPr>
        <w:jc w:val="both"/>
        <w:rPr>
          <w:rFonts w:ascii="Arial" w:hAnsi="Arial" w:cs="Arial"/>
          <w:sz w:val="22"/>
          <w:szCs w:val="22"/>
        </w:rPr>
      </w:pPr>
      <w:r w:rsidRPr="00DB0AE5">
        <w:rPr>
          <w:rFonts w:ascii="Arial" w:hAnsi="Arial" w:cs="Arial"/>
          <w:sz w:val="22"/>
          <w:szCs w:val="22"/>
        </w:rPr>
        <w:t>Adicionalmente, se han presentado 13 SFVSIR retiros del programa autorizados por el ADR (11</w:t>
      </w:r>
      <w:r>
        <w:rPr>
          <w:rFonts w:ascii="Arial" w:hAnsi="Arial" w:cs="Arial"/>
          <w:sz w:val="22"/>
          <w:szCs w:val="22"/>
        </w:rPr>
        <w:t xml:space="preserve"> </w:t>
      </w:r>
      <w:r w:rsidRPr="00DB0AE5">
        <w:rPr>
          <w:rFonts w:ascii="Arial" w:hAnsi="Arial" w:cs="Arial"/>
          <w:sz w:val="22"/>
          <w:szCs w:val="22"/>
        </w:rPr>
        <w:t>aprobados mediante comité de validación de noviembre de 2023 y (2) realizados en la etapa de evaluación) actualmente y en espera de la financiación de los subsidios y del aporte documental por</w:t>
      </w:r>
      <w:r>
        <w:rPr>
          <w:rFonts w:ascii="Arial" w:hAnsi="Arial" w:cs="Arial"/>
          <w:sz w:val="22"/>
          <w:szCs w:val="22"/>
        </w:rPr>
        <w:t xml:space="preserve"> </w:t>
      </w:r>
      <w:r w:rsidRPr="00DB0AE5">
        <w:rPr>
          <w:rFonts w:ascii="Arial" w:hAnsi="Arial" w:cs="Arial"/>
          <w:sz w:val="22"/>
          <w:szCs w:val="22"/>
        </w:rPr>
        <w:t>parte del CRIC y ADR, para la sustitución de los beneficiarios.</w:t>
      </w:r>
    </w:p>
    <w:p w14:paraId="067C1F9F" w14:textId="77777777" w:rsidR="00F6787F" w:rsidRDefault="00F6787F" w:rsidP="00CB71B7"/>
    <w:p w14:paraId="27F2103B" w14:textId="54AFFA81" w:rsidR="000F2EBB" w:rsidRDefault="000F2EBB" w:rsidP="004534C0">
      <w:pPr>
        <w:pStyle w:val="Prrafodelista"/>
        <w:numPr>
          <w:ilvl w:val="0"/>
          <w:numId w:val="20"/>
        </w:numPr>
        <w:jc w:val="both"/>
        <w:rPr>
          <w:rFonts w:ascii="Arial" w:hAnsi="Arial" w:cs="Arial"/>
          <w:sz w:val="22"/>
          <w:szCs w:val="22"/>
        </w:rPr>
      </w:pPr>
      <w:r w:rsidRPr="000F2EBB">
        <w:rPr>
          <w:rFonts w:ascii="Arial" w:hAnsi="Arial" w:cs="Arial"/>
          <w:sz w:val="22"/>
          <w:szCs w:val="22"/>
        </w:rPr>
        <w:t>COMUNIDAD ANUC, La asignación en esta comunidad es de 737 SFVISR, de las</w:t>
      </w:r>
      <w:r>
        <w:rPr>
          <w:rFonts w:ascii="Arial" w:hAnsi="Arial" w:cs="Arial"/>
          <w:sz w:val="22"/>
          <w:szCs w:val="22"/>
        </w:rPr>
        <w:t xml:space="preserve"> </w:t>
      </w:r>
      <w:r w:rsidRPr="000F2EBB">
        <w:rPr>
          <w:rFonts w:ascii="Arial" w:hAnsi="Arial" w:cs="Arial"/>
          <w:sz w:val="22"/>
          <w:szCs w:val="22"/>
        </w:rPr>
        <w:t>cuales se cuenta con 729 SFVISR y 8 SFVISR por cierre financiero. Así mismo, la</w:t>
      </w:r>
      <w:r w:rsidR="000F23AB">
        <w:rPr>
          <w:rFonts w:ascii="Arial" w:hAnsi="Arial" w:cs="Arial"/>
          <w:sz w:val="22"/>
          <w:szCs w:val="22"/>
        </w:rPr>
        <w:t xml:space="preserve"> a</w:t>
      </w:r>
      <w:r w:rsidRPr="000F2EBB">
        <w:rPr>
          <w:rFonts w:ascii="Arial" w:hAnsi="Arial" w:cs="Arial"/>
          <w:sz w:val="22"/>
          <w:szCs w:val="22"/>
        </w:rPr>
        <w:t>sociación de Usuarios Campesinos, realizan el seguimiento de un proyecto del programa Victimas y en mesas de trabajo y de concertación, realizan el requerimiento de la materialización de 14 SFVISR en un proyecto mixto, para un total de 22 SFVISR para dar cierre a los compromisos con esta comunidad.</w:t>
      </w:r>
    </w:p>
    <w:p w14:paraId="3B34F0F8" w14:textId="77777777" w:rsidR="000F23AB" w:rsidRPr="000F2EBB" w:rsidRDefault="000F23AB" w:rsidP="000F2EBB">
      <w:pPr>
        <w:rPr>
          <w:rFonts w:ascii="Arial" w:hAnsi="Arial" w:cs="Arial"/>
          <w:sz w:val="22"/>
          <w:szCs w:val="22"/>
        </w:rPr>
      </w:pPr>
    </w:p>
    <w:p w14:paraId="58EDE8F0" w14:textId="1715444C" w:rsidR="000F2EBB" w:rsidRPr="000F2EBB" w:rsidRDefault="000F2EBB" w:rsidP="000F23AB">
      <w:pPr>
        <w:jc w:val="both"/>
        <w:rPr>
          <w:rFonts w:ascii="Arial" w:hAnsi="Arial" w:cs="Arial"/>
          <w:sz w:val="22"/>
          <w:szCs w:val="22"/>
        </w:rPr>
      </w:pPr>
      <w:r w:rsidRPr="000F2EBB">
        <w:rPr>
          <w:rFonts w:ascii="Arial" w:hAnsi="Arial" w:cs="Arial"/>
          <w:sz w:val="22"/>
          <w:szCs w:val="22"/>
        </w:rPr>
        <w:t xml:space="preserve">A la fecha, las 22 SFVISR, se encuentran asignadas en contrato C-GV-2015-019 - </w:t>
      </w:r>
      <w:proofErr w:type="spellStart"/>
      <w:r w:rsidRPr="000F2EBB">
        <w:rPr>
          <w:rFonts w:ascii="Arial" w:hAnsi="Arial" w:cs="Arial"/>
          <w:sz w:val="22"/>
          <w:szCs w:val="22"/>
        </w:rPr>
        <w:t>Fiduagraria</w:t>
      </w:r>
      <w:proofErr w:type="spellEnd"/>
      <w:r w:rsidRPr="000F2EBB">
        <w:rPr>
          <w:rFonts w:ascii="Arial" w:hAnsi="Arial" w:cs="Arial"/>
          <w:sz w:val="22"/>
          <w:szCs w:val="22"/>
        </w:rPr>
        <w:t>, contrato con</w:t>
      </w:r>
      <w:r w:rsidR="000F23AB">
        <w:rPr>
          <w:rFonts w:ascii="Arial" w:hAnsi="Arial" w:cs="Arial"/>
          <w:sz w:val="22"/>
          <w:szCs w:val="22"/>
        </w:rPr>
        <w:t xml:space="preserve"> </w:t>
      </w:r>
      <w:r w:rsidRPr="000F2EBB">
        <w:rPr>
          <w:rFonts w:ascii="Arial" w:hAnsi="Arial" w:cs="Arial"/>
          <w:sz w:val="22"/>
          <w:szCs w:val="22"/>
        </w:rPr>
        <w:t xml:space="preserve">vencimiento contractual el 30 de junio de 2024 y se encuentra en proceso de liquidación. Durante la ejecución de los proyectos, se presentaron situaciones que impidieron su ejecución como sustituciones no realizadas por predios inviables o beneficiarios no localizados que a la fecha se han realizado las postulaciones para las sustituciones sin embargo se encuentran pendientes de legalizar. </w:t>
      </w:r>
    </w:p>
    <w:p w14:paraId="2A79875F" w14:textId="77777777" w:rsidR="004534C0" w:rsidRDefault="004534C0" w:rsidP="000F2EBB">
      <w:pPr>
        <w:rPr>
          <w:rFonts w:ascii="Arial" w:hAnsi="Arial" w:cs="Arial"/>
          <w:sz w:val="22"/>
          <w:szCs w:val="22"/>
        </w:rPr>
      </w:pPr>
    </w:p>
    <w:p w14:paraId="3046F224" w14:textId="7E42082B" w:rsidR="000F2EBB" w:rsidRPr="000F2EBB" w:rsidRDefault="000F2EBB" w:rsidP="004534C0">
      <w:pPr>
        <w:jc w:val="both"/>
        <w:rPr>
          <w:rFonts w:ascii="Arial" w:hAnsi="Arial" w:cs="Arial"/>
          <w:sz w:val="22"/>
          <w:szCs w:val="22"/>
        </w:rPr>
      </w:pPr>
      <w:r w:rsidRPr="000F2EBB">
        <w:rPr>
          <w:rFonts w:ascii="Arial" w:hAnsi="Arial" w:cs="Arial"/>
          <w:sz w:val="22"/>
          <w:szCs w:val="22"/>
        </w:rPr>
        <w:lastRenderedPageBreak/>
        <w:t xml:space="preserve">De las 22 SFVISR3, se ha realizado el desembolso para 8 SFVISR a la Entidad Operadora </w:t>
      </w:r>
      <w:proofErr w:type="spellStart"/>
      <w:r w:rsidRPr="000F2EBB">
        <w:rPr>
          <w:rFonts w:ascii="Arial" w:hAnsi="Arial" w:cs="Arial"/>
          <w:sz w:val="22"/>
          <w:szCs w:val="22"/>
        </w:rPr>
        <w:t>Fiduagraria</w:t>
      </w:r>
      <w:proofErr w:type="spellEnd"/>
      <w:r w:rsidRPr="000F2EBB">
        <w:rPr>
          <w:rFonts w:ascii="Arial" w:hAnsi="Arial" w:cs="Arial"/>
          <w:sz w:val="22"/>
          <w:szCs w:val="22"/>
        </w:rPr>
        <w:t xml:space="preserve"> y en el marco de las reclamaciones y liquidación contractual, se deberá surtir el trámite de devolución de los </w:t>
      </w:r>
    </w:p>
    <w:p w14:paraId="6FE18FFE" w14:textId="77777777" w:rsidR="00F3372D" w:rsidRDefault="000F2EBB" w:rsidP="00CC5A26">
      <w:pPr>
        <w:jc w:val="both"/>
        <w:rPr>
          <w:rFonts w:ascii="Arial" w:hAnsi="Arial" w:cs="Arial"/>
          <w:sz w:val="22"/>
          <w:szCs w:val="22"/>
        </w:rPr>
      </w:pPr>
      <w:r w:rsidRPr="000F2EBB">
        <w:rPr>
          <w:rFonts w:ascii="Arial" w:hAnsi="Arial" w:cs="Arial"/>
          <w:sz w:val="22"/>
          <w:szCs w:val="22"/>
        </w:rPr>
        <w:t>recursos, sin embargo, es necesario materializar las viviendas para dar el cierre a los compromisos con esta</w:t>
      </w:r>
      <w:r w:rsidR="004534C0">
        <w:rPr>
          <w:rFonts w:ascii="Arial" w:hAnsi="Arial" w:cs="Arial"/>
          <w:sz w:val="22"/>
          <w:szCs w:val="22"/>
        </w:rPr>
        <w:t xml:space="preserve"> </w:t>
      </w:r>
      <w:r w:rsidRPr="000F2EBB">
        <w:rPr>
          <w:rFonts w:ascii="Arial" w:hAnsi="Arial" w:cs="Arial"/>
          <w:sz w:val="22"/>
          <w:szCs w:val="22"/>
        </w:rPr>
        <w:t xml:space="preserve">comunidad y por ello se realiza la solicitud de recurso de estas. </w:t>
      </w:r>
    </w:p>
    <w:p w14:paraId="1C292593" w14:textId="77777777" w:rsidR="00F3372D" w:rsidRDefault="00F3372D" w:rsidP="000F2EBB">
      <w:pPr>
        <w:rPr>
          <w:rFonts w:ascii="Arial" w:hAnsi="Arial" w:cs="Arial"/>
          <w:sz w:val="22"/>
          <w:szCs w:val="22"/>
        </w:rPr>
      </w:pPr>
    </w:p>
    <w:p w14:paraId="7B74D34E" w14:textId="77777777" w:rsidR="000B1575" w:rsidRDefault="00CC5A26" w:rsidP="00CC5A26">
      <w:pPr>
        <w:pStyle w:val="Prrafodelista"/>
        <w:numPr>
          <w:ilvl w:val="0"/>
          <w:numId w:val="20"/>
        </w:numPr>
        <w:jc w:val="both"/>
        <w:rPr>
          <w:rFonts w:ascii="Arial" w:hAnsi="Arial" w:cs="Arial"/>
          <w:sz w:val="22"/>
          <w:szCs w:val="22"/>
        </w:rPr>
      </w:pPr>
      <w:r w:rsidRPr="000B1575">
        <w:rPr>
          <w:rFonts w:ascii="Arial" w:hAnsi="Arial" w:cs="Arial"/>
          <w:sz w:val="22"/>
          <w:szCs w:val="22"/>
        </w:rPr>
        <w:t xml:space="preserve">COMUNIDAD PASTOS Y QUILLASINGAS se cuenta con un rezago de 168 SFVISR de las cuales se solicitó el cierre financiero mediante GV-694 de 14 de marzo de 2024 a la </w:t>
      </w:r>
      <w:r w:rsidR="000B1575" w:rsidRPr="000B1575">
        <w:rPr>
          <w:rFonts w:ascii="Arial" w:hAnsi="Arial" w:cs="Arial"/>
          <w:sz w:val="22"/>
          <w:szCs w:val="22"/>
        </w:rPr>
        <w:t>D</w:t>
      </w:r>
      <w:r w:rsidRPr="000B1575">
        <w:rPr>
          <w:rFonts w:ascii="Arial" w:hAnsi="Arial" w:cs="Arial"/>
          <w:sz w:val="22"/>
          <w:szCs w:val="22"/>
        </w:rPr>
        <w:t xml:space="preserve">irección de Gestión de Bienes Públicos </w:t>
      </w:r>
      <w:r w:rsidR="000B1575" w:rsidRPr="000B1575">
        <w:rPr>
          <w:rFonts w:ascii="Arial" w:hAnsi="Arial" w:cs="Arial"/>
          <w:sz w:val="22"/>
          <w:szCs w:val="22"/>
        </w:rPr>
        <w:t xml:space="preserve"> </w:t>
      </w:r>
      <w:r w:rsidRPr="000B1575">
        <w:rPr>
          <w:rFonts w:ascii="Arial" w:hAnsi="Arial" w:cs="Arial"/>
          <w:sz w:val="22"/>
          <w:szCs w:val="22"/>
        </w:rPr>
        <w:t>Rurales como compromiso adquirido en la mesa preparatoria de la sesión XXVI Mesa Regional</w:t>
      </w:r>
      <w:r w:rsidR="000B1575" w:rsidRPr="000B1575">
        <w:rPr>
          <w:rFonts w:ascii="Arial" w:hAnsi="Arial" w:cs="Arial"/>
          <w:sz w:val="22"/>
          <w:szCs w:val="22"/>
        </w:rPr>
        <w:t xml:space="preserve"> </w:t>
      </w:r>
      <w:r w:rsidRPr="000B1575">
        <w:rPr>
          <w:rFonts w:ascii="Arial" w:hAnsi="Arial" w:cs="Arial"/>
          <w:sz w:val="22"/>
          <w:szCs w:val="22"/>
        </w:rPr>
        <w:t xml:space="preserve">Permanente de Concertación para el Desarrollo de los pueblos Pastos y </w:t>
      </w:r>
      <w:proofErr w:type="spellStart"/>
      <w:r w:rsidRPr="000B1575">
        <w:rPr>
          <w:rFonts w:ascii="Arial" w:hAnsi="Arial" w:cs="Arial"/>
          <w:sz w:val="22"/>
          <w:szCs w:val="22"/>
        </w:rPr>
        <w:t>Quillasingas</w:t>
      </w:r>
      <w:proofErr w:type="spellEnd"/>
      <w:r w:rsidRPr="000B1575">
        <w:rPr>
          <w:rFonts w:ascii="Arial" w:hAnsi="Arial" w:cs="Arial"/>
          <w:sz w:val="22"/>
          <w:szCs w:val="22"/>
        </w:rPr>
        <w:t xml:space="preserve"> convocada por</w:t>
      </w:r>
      <w:r w:rsidR="000B1575" w:rsidRPr="000B1575">
        <w:rPr>
          <w:rFonts w:ascii="Arial" w:hAnsi="Arial" w:cs="Arial"/>
          <w:sz w:val="22"/>
          <w:szCs w:val="22"/>
        </w:rPr>
        <w:t xml:space="preserve"> </w:t>
      </w:r>
      <w:r w:rsidRPr="000B1575">
        <w:rPr>
          <w:rFonts w:ascii="Arial" w:hAnsi="Arial" w:cs="Arial"/>
          <w:sz w:val="22"/>
          <w:szCs w:val="22"/>
        </w:rPr>
        <w:t>Ministerio de Interior de la cual, se espera el análisis por parte del MADR y el proceso de auditoria</w:t>
      </w:r>
      <w:r w:rsidR="000B1575" w:rsidRPr="000B1575">
        <w:rPr>
          <w:rFonts w:ascii="Arial" w:hAnsi="Arial" w:cs="Arial"/>
          <w:sz w:val="22"/>
          <w:szCs w:val="22"/>
        </w:rPr>
        <w:t xml:space="preserve"> </w:t>
      </w:r>
      <w:r w:rsidRPr="000B1575">
        <w:rPr>
          <w:rFonts w:ascii="Arial" w:hAnsi="Arial" w:cs="Arial"/>
          <w:sz w:val="22"/>
          <w:szCs w:val="22"/>
        </w:rPr>
        <w:t>determinada en el Artículo 295 del PND para gestión y apropiación presupuestal según marco de gasto y</w:t>
      </w:r>
      <w:r w:rsidR="000B1575" w:rsidRPr="000B1575">
        <w:rPr>
          <w:rFonts w:ascii="Arial" w:hAnsi="Arial" w:cs="Arial"/>
          <w:sz w:val="22"/>
          <w:szCs w:val="22"/>
        </w:rPr>
        <w:t xml:space="preserve"> </w:t>
      </w:r>
      <w:r w:rsidRPr="000B1575">
        <w:rPr>
          <w:rFonts w:ascii="Arial" w:hAnsi="Arial" w:cs="Arial"/>
          <w:sz w:val="22"/>
          <w:szCs w:val="22"/>
        </w:rPr>
        <w:t>fiscal de mediano plazo. por lo cual no hacen parte de la solicitud.</w:t>
      </w:r>
    </w:p>
    <w:p w14:paraId="356FE0D9" w14:textId="77777777" w:rsidR="000B1575" w:rsidRDefault="000B1575" w:rsidP="000B1575">
      <w:pPr>
        <w:pStyle w:val="Prrafodelista"/>
        <w:jc w:val="both"/>
        <w:rPr>
          <w:rFonts w:ascii="Arial" w:hAnsi="Arial" w:cs="Arial"/>
          <w:sz w:val="22"/>
          <w:szCs w:val="22"/>
        </w:rPr>
      </w:pPr>
    </w:p>
    <w:p w14:paraId="6A2DF9A0" w14:textId="3AB006CD" w:rsidR="000F2EBB" w:rsidRPr="000B1575" w:rsidRDefault="00CC5A26" w:rsidP="00F3372D">
      <w:pPr>
        <w:pStyle w:val="Prrafodelista"/>
        <w:numPr>
          <w:ilvl w:val="0"/>
          <w:numId w:val="20"/>
        </w:numPr>
        <w:jc w:val="both"/>
        <w:rPr>
          <w:rFonts w:ascii="Arial" w:hAnsi="Arial" w:cs="Arial"/>
          <w:sz w:val="22"/>
          <w:szCs w:val="22"/>
        </w:rPr>
      </w:pPr>
      <w:r w:rsidRPr="000B1575">
        <w:rPr>
          <w:rFonts w:ascii="Arial" w:hAnsi="Arial" w:cs="Arial"/>
          <w:sz w:val="22"/>
          <w:szCs w:val="22"/>
        </w:rPr>
        <w:t>COMUNIDAD AWA, el rezago presentado es de 585 subsidios familiares de vivienda de interés social en sitios lejanos sin acceso carreteable con transporte mular y en casos con transporte a través de tarabita</w:t>
      </w:r>
      <w:r w:rsidR="000B1575" w:rsidRPr="000B1575">
        <w:rPr>
          <w:rFonts w:ascii="Arial" w:hAnsi="Arial" w:cs="Arial"/>
          <w:sz w:val="22"/>
          <w:szCs w:val="22"/>
        </w:rPr>
        <w:t xml:space="preserve"> </w:t>
      </w:r>
      <w:r w:rsidR="00F3372D" w:rsidRPr="000B1575">
        <w:rPr>
          <w:rFonts w:ascii="Arial" w:hAnsi="Arial" w:cs="Arial"/>
          <w:sz w:val="22"/>
          <w:szCs w:val="22"/>
        </w:rPr>
        <w:t xml:space="preserve">una tasación para transporte entre $230.000.000 hasta $340.000.000 por vivienda. Adicional a esto, la comunidad requiere un prototipo que sea de 60 m2 con cubierta a cuatro aguas sistema constructivo en madera sin permiso de </w:t>
      </w:r>
      <w:proofErr w:type="spellStart"/>
      <w:r w:rsidR="00F3372D" w:rsidRPr="000B1575">
        <w:rPr>
          <w:rFonts w:ascii="Arial" w:hAnsi="Arial" w:cs="Arial"/>
          <w:sz w:val="22"/>
          <w:szCs w:val="22"/>
        </w:rPr>
        <w:t>Corponariño</w:t>
      </w:r>
      <w:proofErr w:type="spellEnd"/>
      <w:r w:rsidR="00F3372D" w:rsidRPr="000B1575">
        <w:rPr>
          <w:rFonts w:ascii="Arial" w:hAnsi="Arial" w:cs="Arial"/>
          <w:sz w:val="22"/>
          <w:szCs w:val="22"/>
        </w:rPr>
        <w:t xml:space="preserve"> para uso de maderables de la región y en estructura palafítica por razón de uso y costumbre de la comunidad. Ante lo anteriormente expuesto, la gerencia integral solicitar retirarlos del contrato sin que aún se presente una solicitud formal. Por lo anterior no hacen parte de la presente solicitud.</w:t>
      </w:r>
      <w:r w:rsidR="000F2EBB" w:rsidRPr="000B1575">
        <w:rPr>
          <w:rFonts w:ascii="Arial" w:hAnsi="Arial" w:cs="Arial"/>
          <w:sz w:val="22"/>
          <w:szCs w:val="22"/>
        </w:rPr>
        <w:t xml:space="preserve"> </w:t>
      </w:r>
    </w:p>
    <w:p w14:paraId="3F8B4E85" w14:textId="77777777" w:rsidR="00F6787F" w:rsidRPr="000F2EBB" w:rsidRDefault="00F6787F" w:rsidP="00CB71B7">
      <w:pPr>
        <w:rPr>
          <w:rFonts w:ascii="Arial" w:hAnsi="Arial" w:cs="Arial"/>
          <w:sz w:val="22"/>
          <w:szCs w:val="22"/>
        </w:rPr>
      </w:pPr>
    </w:p>
    <w:p w14:paraId="22D48C6A" w14:textId="7230BF07" w:rsidR="00A45D1B" w:rsidRPr="000B1575" w:rsidRDefault="008226B5" w:rsidP="000B1575">
      <w:pPr>
        <w:pStyle w:val="Ttulo1"/>
        <w:numPr>
          <w:ilvl w:val="0"/>
          <w:numId w:val="7"/>
        </w:numPr>
        <w:spacing w:before="0"/>
        <w:rPr>
          <w:rFonts w:ascii="Arial" w:hAnsi="Arial" w:cs="Arial"/>
          <w:b/>
          <w:bCs/>
          <w:color w:val="385623" w:themeColor="accent6" w:themeShade="80"/>
          <w:sz w:val="22"/>
          <w:szCs w:val="22"/>
        </w:rPr>
      </w:pPr>
      <w:bookmarkStart w:id="43" w:name="_Toc225874795"/>
      <w:r w:rsidRPr="00CB71B7">
        <w:rPr>
          <w:rFonts w:ascii="Arial" w:hAnsi="Arial" w:cs="Arial"/>
          <w:b/>
          <w:bCs/>
          <w:color w:val="385623" w:themeColor="accent6" w:themeShade="80"/>
          <w:sz w:val="22"/>
          <w:szCs w:val="22"/>
        </w:rPr>
        <w:t>CONCLUSIONES Y RECOMENDACIONES</w:t>
      </w:r>
      <w:bookmarkEnd w:id="40"/>
      <w:bookmarkEnd w:id="43"/>
    </w:p>
    <w:p w14:paraId="6E8598F6" w14:textId="77777777" w:rsidR="00A45D1B" w:rsidRPr="00CB24C7" w:rsidRDefault="00A45D1B" w:rsidP="00CB24C7">
      <w:pPr>
        <w:pStyle w:val="Prrafodelista"/>
        <w:jc w:val="both"/>
        <w:rPr>
          <w:rFonts w:ascii="Arial" w:hAnsi="Arial" w:cs="Arial"/>
          <w:b/>
          <w:bCs/>
          <w:color w:val="0070C0"/>
          <w:sz w:val="22"/>
          <w:szCs w:val="22"/>
          <w:lang w:val="es-ES_tradnl"/>
        </w:rPr>
      </w:pPr>
    </w:p>
    <w:p w14:paraId="6D148295" w14:textId="1FC5989B" w:rsidR="008226B5" w:rsidRPr="00CB71B7" w:rsidRDefault="008226B5" w:rsidP="005F760B">
      <w:pPr>
        <w:pStyle w:val="Prrafodelista"/>
        <w:numPr>
          <w:ilvl w:val="1"/>
          <w:numId w:val="7"/>
        </w:numPr>
        <w:jc w:val="both"/>
        <w:rPr>
          <w:rFonts w:ascii="Arial" w:hAnsi="Arial" w:cs="Arial"/>
          <w:b/>
          <w:color w:val="385623" w:themeColor="accent6" w:themeShade="80"/>
          <w:sz w:val="22"/>
          <w:szCs w:val="22"/>
        </w:rPr>
      </w:pPr>
      <w:r w:rsidRPr="00CB71B7">
        <w:rPr>
          <w:rFonts w:ascii="Arial" w:hAnsi="Arial" w:cs="Arial"/>
          <w:b/>
          <w:color w:val="385623" w:themeColor="accent6" w:themeShade="80"/>
          <w:sz w:val="22"/>
          <w:szCs w:val="22"/>
        </w:rPr>
        <w:t>A</w:t>
      </w:r>
      <w:r w:rsidR="00BB6129" w:rsidRPr="00CB71B7">
        <w:rPr>
          <w:rFonts w:ascii="Arial" w:hAnsi="Arial" w:cs="Arial"/>
          <w:b/>
          <w:color w:val="385623" w:themeColor="accent6" w:themeShade="80"/>
          <w:sz w:val="22"/>
          <w:szCs w:val="22"/>
        </w:rPr>
        <w:t>l</w:t>
      </w:r>
      <w:r w:rsidRPr="00CB71B7">
        <w:rPr>
          <w:rFonts w:ascii="Arial" w:hAnsi="Arial" w:cs="Arial"/>
          <w:b/>
          <w:color w:val="385623" w:themeColor="accent6" w:themeShade="80"/>
          <w:sz w:val="22"/>
          <w:szCs w:val="22"/>
        </w:rPr>
        <w:t xml:space="preserve"> Banco Agrario de Colombia – BAC (Vigencias 2000 – 2017)</w:t>
      </w:r>
    </w:p>
    <w:p w14:paraId="094A7769" w14:textId="54265102" w:rsidR="00F54EA3" w:rsidRPr="00213B0C" w:rsidRDefault="00213B0C" w:rsidP="00CB24C7">
      <w:pPr>
        <w:pStyle w:val="Prrafodelista"/>
        <w:ind w:left="644"/>
        <w:jc w:val="both"/>
        <w:rPr>
          <w:rFonts w:ascii="Arial" w:hAnsi="Arial" w:cs="Arial"/>
          <w:b/>
          <w:color w:val="EE0000"/>
          <w:sz w:val="22"/>
          <w:szCs w:val="22"/>
        </w:rPr>
      </w:pPr>
      <w:r w:rsidRPr="00213B0C">
        <w:rPr>
          <w:rFonts w:ascii="Arial" w:hAnsi="Arial" w:cs="Arial"/>
          <w:b/>
          <w:color w:val="EE0000"/>
          <w:sz w:val="22"/>
          <w:szCs w:val="22"/>
        </w:rPr>
        <w:t>CATALINA</w:t>
      </w:r>
    </w:p>
    <w:p w14:paraId="47794176" w14:textId="143AE0AA" w:rsidR="00113178" w:rsidRPr="00113178" w:rsidRDefault="00113178" w:rsidP="005F760B">
      <w:pPr>
        <w:pStyle w:val="Prrafodelista"/>
        <w:numPr>
          <w:ilvl w:val="0"/>
          <w:numId w:val="2"/>
        </w:numPr>
        <w:jc w:val="both"/>
        <w:rPr>
          <w:rFonts w:ascii="Arial" w:hAnsi="Arial" w:cs="Arial"/>
          <w:b/>
          <w:color w:val="4472C4" w:themeColor="accent1"/>
          <w:sz w:val="22"/>
          <w:szCs w:val="22"/>
        </w:rPr>
      </w:pPr>
      <w:r>
        <w:rPr>
          <w:rFonts w:ascii="Arial" w:hAnsi="Arial" w:cs="Arial"/>
          <w:sz w:val="22"/>
          <w:szCs w:val="22"/>
        </w:rPr>
        <w:t xml:space="preserve">Culminar las actividades de la auditoría adelantada por el Consorcio AUDIVIV con el propósito de establecer las acciones a seguir con los dos periodos de análisis: a: 2000 a 2010 y b. de 2011 a 2017. </w:t>
      </w:r>
    </w:p>
    <w:p w14:paraId="65838899" w14:textId="4CF646C1" w:rsidR="00113178" w:rsidRDefault="005E52A3" w:rsidP="005F760B">
      <w:pPr>
        <w:pStyle w:val="Prrafodelista"/>
        <w:numPr>
          <w:ilvl w:val="0"/>
          <w:numId w:val="2"/>
        </w:numPr>
        <w:jc w:val="both"/>
        <w:rPr>
          <w:rFonts w:ascii="Arial" w:hAnsi="Arial" w:cs="Arial"/>
          <w:sz w:val="22"/>
          <w:szCs w:val="22"/>
        </w:rPr>
      </w:pPr>
      <w:r>
        <w:rPr>
          <w:rFonts w:ascii="Arial" w:hAnsi="Arial" w:cs="Arial"/>
          <w:sz w:val="22"/>
          <w:szCs w:val="22"/>
        </w:rPr>
        <w:t xml:space="preserve">Solicitar aclaraciones al </w:t>
      </w:r>
      <w:r w:rsidR="00335F8A">
        <w:rPr>
          <w:rFonts w:ascii="Arial" w:hAnsi="Arial" w:cs="Arial"/>
          <w:sz w:val="22"/>
          <w:szCs w:val="22"/>
        </w:rPr>
        <w:t xml:space="preserve">Consorcio </w:t>
      </w:r>
      <w:proofErr w:type="spellStart"/>
      <w:r w:rsidR="00335F8A">
        <w:rPr>
          <w:rFonts w:ascii="Arial" w:hAnsi="Arial" w:cs="Arial"/>
          <w:sz w:val="22"/>
          <w:szCs w:val="22"/>
        </w:rPr>
        <w:t>Audiviv</w:t>
      </w:r>
      <w:proofErr w:type="spellEnd"/>
      <w:r>
        <w:rPr>
          <w:rFonts w:ascii="Arial" w:hAnsi="Arial" w:cs="Arial"/>
          <w:sz w:val="22"/>
          <w:szCs w:val="22"/>
        </w:rPr>
        <w:t xml:space="preserve"> sobre el informe </w:t>
      </w:r>
      <w:r w:rsidR="00335F8A">
        <w:rPr>
          <w:rFonts w:ascii="Arial" w:hAnsi="Arial" w:cs="Arial"/>
          <w:sz w:val="22"/>
          <w:szCs w:val="22"/>
        </w:rPr>
        <w:t xml:space="preserve">de auditoría para asegurar claridad en las acciones </w:t>
      </w:r>
      <w:r w:rsidR="00200065">
        <w:rPr>
          <w:rFonts w:ascii="Arial" w:hAnsi="Arial" w:cs="Arial"/>
          <w:sz w:val="22"/>
          <w:szCs w:val="22"/>
        </w:rPr>
        <w:t xml:space="preserve">a adoptar. </w:t>
      </w:r>
    </w:p>
    <w:p w14:paraId="6797A20F" w14:textId="0807EC3C" w:rsidR="00113178" w:rsidRDefault="00200065" w:rsidP="005F760B">
      <w:pPr>
        <w:pStyle w:val="Prrafodelista"/>
        <w:numPr>
          <w:ilvl w:val="0"/>
          <w:numId w:val="2"/>
        </w:numPr>
        <w:jc w:val="both"/>
        <w:rPr>
          <w:rFonts w:ascii="Arial" w:hAnsi="Arial" w:cs="Arial"/>
          <w:sz w:val="22"/>
          <w:szCs w:val="22"/>
        </w:rPr>
      </w:pPr>
      <w:r>
        <w:rPr>
          <w:rFonts w:ascii="Arial" w:hAnsi="Arial" w:cs="Arial"/>
          <w:sz w:val="22"/>
          <w:szCs w:val="22"/>
        </w:rPr>
        <w:t xml:space="preserve">Una vez realizados todos los trámites para proceder con el </w:t>
      </w:r>
      <w:r w:rsidR="00113178">
        <w:rPr>
          <w:rFonts w:ascii="Arial" w:hAnsi="Arial" w:cs="Arial"/>
          <w:sz w:val="22"/>
          <w:szCs w:val="22"/>
        </w:rPr>
        <w:t>pago de las vigencias expiradas conforme la solicitud de la Secretaría General y el Ministerio de Hacienda.</w:t>
      </w:r>
    </w:p>
    <w:p w14:paraId="25B44BA9" w14:textId="46BD9E2B" w:rsidR="008226B5" w:rsidRDefault="00113178" w:rsidP="005F760B">
      <w:pPr>
        <w:pStyle w:val="Prrafodelista"/>
        <w:numPr>
          <w:ilvl w:val="0"/>
          <w:numId w:val="2"/>
        </w:numPr>
        <w:jc w:val="both"/>
        <w:rPr>
          <w:rFonts w:ascii="Arial" w:hAnsi="Arial" w:cs="Arial"/>
          <w:sz w:val="22"/>
          <w:szCs w:val="22"/>
        </w:rPr>
      </w:pPr>
      <w:r>
        <w:rPr>
          <w:rFonts w:ascii="Arial" w:hAnsi="Arial" w:cs="Arial"/>
          <w:sz w:val="22"/>
          <w:szCs w:val="22"/>
        </w:rPr>
        <w:t xml:space="preserve">Suministrar y apoyar al equipo auditor en la documentación y soportes de los documentos necesarios para desarrollar la auditoría.  </w:t>
      </w:r>
    </w:p>
    <w:p w14:paraId="6D6AF2EB" w14:textId="3506C379" w:rsidR="00C839EF" w:rsidRDefault="00C839EF" w:rsidP="005F760B">
      <w:pPr>
        <w:pStyle w:val="Prrafodelista"/>
        <w:numPr>
          <w:ilvl w:val="0"/>
          <w:numId w:val="2"/>
        </w:numPr>
        <w:jc w:val="both"/>
        <w:rPr>
          <w:rFonts w:ascii="Arial" w:hAnsi="Arial" w:cs="Arial"/>
          <w:sz w:val="22"/>
          <w:szCs w:val="22"/>
        </w:rPr>
      </w:pPr>
      <w:r>
        <w:rPr>
          <w:rFonts w:ascii="Arial" w:hAnsi="Arial" w:cs="Arial"/>
          <w:sz w:val="22"/>
          <w:szCs w:val="22"/>
        </w:rPr>
        <w:t xml:space="preserve">Priorizar los subsidios de vivienda </w:t>
      </w:r>
      <w:r w:rsidR="00A61EA4">
        <w:rPr>
          <w:rFonts w:ascii="Arial" w:hAnsi="Arial" w:cs="Arial"/>
          <w:sz w:val="22"/>
          <w:szCs w:val="22"/>
        </w:rPr>
        <w:t>relacionados con actuaciones judiciales y diálogo social, para presentarlo ante el Comité Intersectorial de Vivienda de Interés Social Rural</w:t>
      </w:r>
    </w:p>
    <w:p w14:paraId="2BFD4D65" w14:textId="69E67AFA" w:rsidR="00A61EA4" w:rsidRDefault="00A61EA4" w:rsidP="005F760B">
      <w:pPr>
        <w:pStyle w:val="Prrafodelista"/>
        <w:numPr>
          <w:ilvl w:val="0"/>
          <w:numId w:val="2"/>
        </w:numPr>
        <w:jc w:val="both"/>
        <w:rPr>
          <w:rFonts w:ascii="Arial" w:hAnsi="Arial" w:cs="Arial"/>
          <w:sz w:val="22"/>
          <w:szCs w:val="22"/>
        </w:rPr>
      </w:pPr>
      <w:r>
        <w:rPr>
          <w:rFonts w:ascii="Arial" w:hAnsi="Arial" w:cs="Arial"/>
          <w:sz w:val="22"/>
          <w:szCs w:val="22"/>
        </w:rPr>
        <w:t xml:space="preserve">Al margen de las priorizaciones, adoptar un plan de acción que </w:t>
      </w:r>
      <w:proofErr w:type="spellStart"/>
      <w:r w:rsidR="007174AE">
        <w:rPr>
          <w:rFonts w:ascii="Arial" w:hAnsi="Arial" w:cs="Arial"/>
          <w:sz w:val="22"/>
          <w:szCs w:val="22"/>
        </w:rPr>
        <w:t>p</w:t>
      </w:r>
      <w:r>
        <w:rPr>
          <w:rFonts w:ascii="Arial" w:hAnsi="Arial" w:cs="Arial"/>
          <w:sz w:val="22"/>
          <w:szCs w:val="22"/>
        </w:rPr>
        <w:t>emita</w:t>
      </w:r>
      <w:proofErr w:type="spellEnd"/>
      <w:r>
        <w:rPr>
          <w:rFonts w:ascii="Arial" w:hAnsi="Arial" w:cs="Arial"/>
          <w:sz w:val="22"/>
          <w:szCs w:val="22"/>
        </w:rPr>
        <w:t xml:space="preserve"> recoger las recomendaciones realizadas por la auditoría </w:t>
      </w:r>
      <w:r w:rsidR="007174AE">
        <w:rPr>
          <w:rFonts w:ascii="Arial" w:hAnsi="Arial" w:cs="Arial"/>
          <w:sz w:val="22"/>
          <w:szCs w:val="22"/>
        </w:rPr>
        <w:t xml:space="preserve">al </w:t>
      </w:r>
      <w:r>
        <w:rPr>
          <w:rFonts w:ascii="Arial" w:hAnsi="Arial" w:cs="Arial"/>
          <w:sz w:val="22"/>
          <w:szCs w:val="22"/>
        </w:rPr>
        <w:t xml:space="preserve">programa de vivienda </w:t>
      </w:r>
      <w:r w:rsidR="007174AE">
        <w:rPr>
          <w:rFonts w:ascii="Arial" w:hAnsi="Arial" w:cs="Arial"/>
          <w:sz w:val="22"/>
          <w:szCs w:val="22"/>
        </w:rPr>
        <w:t xml:space="preserve">durante el periodo 2000 a 2017, </w:t>
      </w:r>
      <w:r w:rsidR="001E02C4">
        <w:rPr>
          <w:rFonts w:ascii="Arial" w:hAnsi="Arial" w:cs="Arial"/>
          <w:sz w:val="22"/>
          <w:szCs w:val="22"/>
        </w:rPr>
        <w:t>encaminados al fin último de indexación y cierre financiero.</w:t>
      </w:r>
      <w:r w:rsidR="007174AE">
        <w:rPr>
          <w:rFonts w:ascii="Arial" w:hAnsi="Arial" w:cs="Arial"/>
          <w:sz w:val="22"/>
          <w:szCs w:val="22"/>
        </w:rPr>
        <w:t xml:space="preserve"> </w:t>
      </w:r>
    </w:p>
    <w:p w14:paraId="5A2CB0EB" w14:textId="77777777" w:rsidR="00B32230" w:rsidRPr="00CB24C7" w:rsidRDefault="00B32230" w:rsidP="00B32230">
      <w:pPr>
        <w:pStyle w:val="Prrafodelista"/>
        <w:ind w:left="1440"/>
        <w:jc w:val="both"/>
        <w:rPr>
          <w:rFonts w:ascii="Arial" w:hAnsi="Arial" w:cs="Arial"/>
          <w:sz w:val="22"/>
          <w:szCs w:val="22"/>
        </w:rPr>
      </w:pPr>
    </w:p>
    <w:p w14:paraId="4962BB94" w14:textId="77777777" w:rsidR="008226B5" w:rsidRPr="00CB24C7" w:rsidRDefault="008226B5" w:rsidP="00CB24C7">
      <w:pPr>
        <w:pStyle w:val="Prrafodelista"/>
        <w:ind w:left="1440"/>
        <w:jc w:val="both"/>
        <w:rPr>
          <w:rFonts w:ascii="Arial" w:hAnsi="Arial" w:cs="Arial"/>
          <w:b/>
          <w:color w:val="4472C4" w:themeColor="accent1"/>
          <w:sz w:val="22"/>
          <w:szCs w:val="22"/>
        </w:rPr>
      </w:pPr>
    </w:p>
    <w:p w14:paraId="6BC2F4A7" w14:textId="78C7E64F" w:rsidR="008226B5" w:rsidRPr="00CB71B7" w:rsidRDefault="008226B5" w:rsidP="005F760B">
      <w:pPr>
        <w:pStyle w:val="Prrafodelista"/>
        <w:numPr>
          <w:ilvl w:val="1"/>
          <w:numId w:val="7"/>
        </w:numPr>
        <w:jc w:val="both"/>
        <w:rPr>
          <w:rFonts w:ascii="Arial" w:hAnsi="Arial" w:cs="Arial"/>
          <w:b/>
          <w:color w:val="385623" w:themeColor="accent6" w:themeShade="80"/>
          <w:sz w:val="22"/>
          <w:szCs w:val="22"/>
        </w:rPr>
      </w:pPr>
      <w:r w:rsidRPr="00CB71B7">
        <w:rPr>
          <w:rFonts w:ascii="Arial" w:hAnsi="Arial" w:cs="Arial"/>
          <w:b/>
          <w:color w:val="385623" w:themeColor="accent6" w:themeShade="80"/>
          <w:sz w:val="22"/>
          <w:szCs w:val="22"/>
        </w:rPr>
        <w:t xml:space="preserve">A FIDUAGRARIA </w:t>
      </w:r>
      <w:r w:rsidR="00184946" w:rsidRPr="00CB71B7">
        <w:rPr>
          <w:rFonts w:ascii="Arial" w:hAnsi="Arial" w:cs="Arial"/>
          <w:b/>
          <w:color w:val="385623" w:themeColor="accent6" w:themeShade="80"/>
          <w:sz w:val="22"/>
          <w:szCs w:val="22"/>
        </w:rPr>
        <w:t xml:space="preserve">y al MADR </w:t>
      </w:r>
      <w:r w:rsidRPr="00CB71B7">
        <w:rPr>
          <w:rFonts w:ascii="Arial" w:hAnsi="Arial" w:cs="Arial"/>
          <w:b/>
          <w:color w:val="385623" w:themeColor="accent6" w:themeShade="80"/>
          <w:sz w:val="22"/>
          <w:szCs w:val="22"/>
        </w:rPr>
        <w:t>entidad operadora</w:t>
      </w:r>
      <w:r w:rsidR="00630C92" w:rsidRPr="00CB71B7">
        <w:rPr>
          <w:rFonts w:ascii="Arial" w:hAnsi="Arial" w:cs="Arial"/>
          <w:b/>
          <w:color w:val="385623" w:themeColor="accent6" w:themeShade="80"/>
          <w:sz w:val="22"/>
          <w:szCs w:val="22"/>
        </w:rPr>
        <w:t xml:space="preserve"> de las</w:t>
      </w:r>
      <w:r w:rsidRPr="00CB71B7">
        <w:rPr>
          <w:rFonts w:ascii="Arial" w:hAnsi="Arial" w:cs="Arial"/>
          <w:b/>
          <w:color w:val="385623" w:themeColor="accent6" w:themeShade="80"/>
          <w:sz w:val="22"/>
          <w:szCs w:val="22"/>
        </w:rPr>
        <w:t xml:space="preserve"> vigencias 2018 y 2019</w:t>
      </w:r>
      <w:r w:rsidR="00511740" w:rsidRPr="00CB71B7">
        <w:rPr>
          <w:rFonts w:ascii="Arial" w:hAnsi="Arial" w:cs="Arial"/>
          <w:b/>
          <w:color w:val="385623" w:themeColor="accent6" w:themeShade="80"/>
          <w:sz w:val="22"/>
          <w:szCs w:val="22"/>
        </w:rPr>
        <w:t>.</w:t>
      </w:r>
    </w:p>
    <w:p w14:paraId="7EE9FB8F" w14:textId="7C1A889A" w:rsidR="00D821C3" w:rsidRPr="00213B0C" w:rsidRDefault="00213B0C" w:rsidP="00D821C3">
      <w:pPr>
        <w:pStyle w:val="Prrafodelista"/>
        <w:ind w:left="502"/>
        <w:jc w:val="both"/>
        <w:rPr>
          <w:rFonts w:ascii="Arial" w:hAnsi="Arial" w:cs="Arial"/>
          <w:b/>
          <w:color w:val="EE0000"/>
          <w:sz w:val="22"/>
          <w:szCs w:val="22"/>
        </w:rPr>
      </w:pPr>
      <w:r w:rsidRPr="00213B0C">
        <w:rPr>
          <w:rFonts w:ascii="Arial" w:hAnsi="Arial" w:cs="Arial"/>
          <w:b/>
          <w:color w:val="EE0000"/>
          <w:sz w:val="22"/>
          <w:szCs w:val="22"/>
        </w:rPr>
        <w:t>GLADYS</w:t>
      </w:r>
    </w:p>
    <w:p w14:paraId="14F6C6C5" w14:textId="77777777" w:rsidR="001E02C4" w:rsidRDefault="001E02C4" w:rsidP="001E02C4">
      <w:pPr>
        <w:pStyle w:val="Prrafodelista"/>
        <w:numPr>
          <w:ilvl w:val="0"/>
          <w:numId w:val="3"/>
        </w:numPr>
        <w:jc w:val="both"/>
        <w:rPr>
          <w:rFonts w:ascii="Arial" w:hAnsi="Arial" w:cs="Arial"/>
          <w:sz w:val="22"/>
          <w:szCs w:val="22"/>
        </w:rPr>
      </w:pPr>
      <w:r>
        <w:rPr>
          <w:rFonts w:ascii="Arial" w:hAnsi="Arial" w:cs="Arial"/>
          <w:sz w:val="22"/>
          <w:szCs w:val="22"/>
        </w:rPr>
        <w:t xml:space="preserve">Se requiere documentar en debida forma la etapa de liquidación de los contratos de fiducia celebrados con </w:t>
      </w:r>
      <w:proofErr w:type="spellStart"/>
      <w:r>
        <w:rPr>
          <w:rFonts w:ascii="Arial" w:hAnsi="Arial" w:cs="Arial"/>
          <w:sz w:val="22"/>
          <w:szCs w:val="22"/>
        </w:rPr>
        <w:t>Fiduagraria</w:t>
      </w:r>
      <w:proofErr w:type="spellEnd"/>
      <w:r>
        <w:rPr>
          <w:rFonts w:ascii="Arial" w:hAnsi="Arial" w:cs="Arial"/>
          <w:sz w:val="22"/>
          <w:szCs w:val="22"/>
        </w:rPr>
        <w:t xml:space="preserve"> para las vigencias 2018 y 2019 desde el componente técnico, jurídico y financiero. </w:t>
      </w:r>
    </w:p>
    <w:p w14:paraId="5A342DDC" w14:textId="77777777" w:rsidR="001E02C4" w:rsidRDefault="001E02C4" w:rsidP="001E02C4">
      <w:pPr>
        <w:pStyle w:val="Prrafodelista"/>
        <w:numPr>
          <w:ilvl w:val="0"/>
          <w:numId w:val="3"/>
        </w:numPr>
        <w:jc w:val="both"/>
        <w:rPr>
          <w:rFonts w:ascii="Arial" w:hAnsi="Arial" w:cs="Arial"/>
          <w:sz w:val="22"/>
          <w:szCs w:val="22"/>
        </w:rPr>
      </w:pPr>
      <w:r>
        <w:rPr>
          <w:rFonts w:ascii="Arial" w:hAnsi="Arial" w:cs="Arial"/>
          <w:sz w:val="22"/>
          <w:szCs w:val="22"/>
        </w:rPr>
        <w:t xml:space="preserve">Hacer seguimiento a la solicitud efectuada a la oficina Asesora Jurídica sobre los lineamientos adoptar en el marco de la liquidación con </w:t>
      </w:r>
      <w:proofErr w:type="spellStart"/>
      <w:r>
        <w:rPr>
          <w:rFonts w:ascii="Arial" w:hAnsi="Arial" w:cs="Arial"/>
          <w:sz w:val="22"/>
          <w:szCs w:val="22"/>
        </w:rPr>
        <w:t>Fiduagraria</w:t>
      </w:r>
      <w:proofErr w:type="spellEnd"/>
      <w:r>
        <w:rPr>
          <w:rFonts w:ascii="Arial" w:hAnsi="Arial" w:cs="Arial"/>
          <w:sz w:val="22"/>
          <w:szCs w:val="22"/>
        </w:rPr>
        <w:t xml:space="preserve">. Entre las cuales se encuentra, el trámite de sustituciones y exclusiones, respuestas a peticionarios, seguimiento a las reclamaciones, entre otras. </w:t>
      </w:r>
    </w:p>
    <w:p w14:paraId="1ED036E7" w14:textId="3CE653B4" w:rsidR="001E02C4" w:rsidRDefault="001E02C4" w:rsidP="001E02C4">
      <w:pPr>
        <w:pStyle w:val="Prrafodelista"/>
        <w:numPr>
          <w:ilvl w:val="0"/>
          <w:numId w:val="3"/>
        </w:numPr>
        <w:jc w:val="both"/>
        <w:rPr>
          <w:rFonts w:ascii="Arial" w:hAnsi="Arial" w:cs="Arial"/>
          <w:sz w:val="22"/>
          <w:szCs w:val="22"/>
        </w:rPr>
      </w:pPr>
      <w:r>
        <w:rPr>
          <w:rFonts w:ascii="Arial" w:hAnsi="Arial" w:cs="Arial"/>
          <w:sz w:val="22"/>
          <w:szCs w:val="22"/>
        </w:rPr>
        <w:t xml:space="preserve">Dar aplicación a las pautas metodológicas </w:t>
      </w:r>
      <w:proofErr w:type="gramStart"/>
      <w:r>
        <w:rPr>
          <w:rFonts w:ascii="Arial" w:hAnsi="Arial" w:cs="Arial"/>
          <w:sz w:val="22"/>
          <w:szCs w:val="22"/>
        </w:rPr>
        <w:t>metodología remitidas</w:t>
      </w:r>
      <w:proofErr w:type="gramEnd"/>
      <w:r>
        <w:rPr>
          <w:rFonts w:ascii="Arial" w:hAnsi="Arial" w:cs="Arial"/>
          <w:sz w:val="22"/>
          <w:szCs w:val="22"/>
        </w:rPr>
        <w:t xml:space="preserve"> por parte del Ministerio de Vivienda, Ciudad y Territorio. </w:t>
      </w:r>
    </w:p>
    <w:p w14:paraId="34D6F790" w14:textId="77777777" w:rsidR="001E02C4" w:rsidRPr="00CB24C7" w:rsidRDefault="001E02C4" w:rsidP="001E02C4">
      <w:pPr>
        <w:pStyle w:val="Prrafodelista"/>
        <w:numPr>
          <w:ilvl w:val="0"/>
          <w:numId w:val="3"/>
        </w:numPr>
        <w:jc w:val="both"/>
        <w:rPr>
          <w:rFonts w:ascii="Arial" w:hAnsi="Arial" w:cs="Arial"/>
          <w:sz w:val="22"/>
          <w:szCs w:val="22"/>
        </w:rPr>
      </w:pPr>
      <w:r>
        <w:rPr>
          <w:rFonts w:ascii="Arial" w:hAnsi="Arial" w:cs="Arial"/>
          <w:sz w:val="22"/>
          <w:szCs w:val="22"/>
        </w:rPr>
        <w:t>D</w:t>
      </w:r>
      <w:r w:rsidRPr="00CB24C7">
        <w:rPr>
          <w:rFonts w:ascii="Arial" w:hAnsi="Arial" w:cs="Arial"/>
          <w:sz w:val="22"/>
          <w:szCs w:val="22"/>
        </w:rPr>
        <w:t>efini</w:t>
      </w:r>
      <w:r>
        <w:rPr>
          <w:rFonts w:ascii="Arial" w:hAnsi="Arial" w:cs="Arial"/>
          <w:sz w:val="22"/>
          <w:szCs w:val="22"/>
        </w:rPr>
        <w:t>r</w:t>
      </w:r>
      <w:r w:rsidRPr="00CB24C7">
        <w:rPr>
          <w:rFonts w:ascii="Arial" w:hAnsi="Arial" w:cs="Arial"/>
          <w:sz w:val="22"/>
          <w:szCs w:val="22"/>
        </w:rPr>
        <w:t xml:space="preserve"> </w:t>
      </w:r>
      <w:r>
        <w:rPr>
          <w:rFonts w:ascii="Arial" w:hAnsi="Arial" w:cs="Arial"/>
          <w:sz w:val="22"/>
          <w:szCs w:val="22"/>
        </w:rPr>
        <w:t>las estrategias requerida</w:t>
      </w:r>
      <w:r w:rsidRPr="00CB24C7">
        <w:rPr>
          <w:rFonts w:ascii="Arial" w:hAnsi="Arial" w:cs="Arial"/>
          <w:sz w:val="22"/>
          <w:szCs w:val="22"/>
        </w:rPr>
        <w:t>s</w:t>
      </w:r>
      <w:r>
        <w:rPr>
          <w:rFonts w:ascii="Arial" w:hAnsi="Arial" w:cs="Arial"/>
          <w:sz w:val="22"/>
          <w:szCs w:val="22"/>
        </w:rPr>
        <w:t xml:space="preserve"> por el</w:t>
      </w:r>
      <w:r w:rsidRPr="00CB24C7">
        <w:rPr>
          <w:rFonts w:ascii="Arial" w:hAnsi="Arial" w:cs="Arial"/>
          <w:sz w:val="22"/>
          <w:szCs w:val="22"/>
        </w:rPr>
        <w:t xml:space="preserve"> </w:t>
      </w:r>
      <w:r>
        <w:rPr>
          <w:rFonts w:ascii="Arial" w:hAnsi="Arial" w:cs="Arial"/>
          <w:sz w:val="22"/>
          <w:szCs w:val="22"/>
        </w:rPr>
        <w:t>MADR para definir</w:t>
      </w:r>
      <w:r w:rsidRPr="00CB24C7">
        <w:rPr>
          <w:rFonts w:ascii="Arial" w:hAnsi="Arial" w:cs="Arial"/>
          <w:sz w:val="22"/>
          <w:szCs w:val="22"/>
        </w:rPr>
        <w:t xml:space="preserve"> las sustituciones</w:t>
      </w:r>
      <w:r>
        <w:rPr>
          <w:rFonts w:ascii="Arial" w:hAnsi="Arial" w:cs="Arial"/>
          <w:sz w:val="22"/>
          <w:szCs w:val="22"/>
        </w:rPr>
        <w:t xml:space="preserve"> o exclusiones</w:t>
      </w:r>
      <w:r w:rsidRPr="00CB24C7">
        <w:rPr>
          <w:rFonts w:ascii="Arial" w:hAnsi="Arial" w:cs="Arial"/>
          <w:sz w:val="22"/>
          <w:szCs w:val="22"/>
        </w:rPr>
        <w:t xml:space="preserve"> a que haya lugar</w:t>
      </w:r>
      <w:r>
        <w:rPr>
          <w:rFonts w:ascii="Arial" w:hAnsi="Arial" w:cs="Arial"/>
          <w:sz w:val="22"/>
          <w:szCs w:val="22"/>
        </w:rPr>
        <w:t>, considerando las acciones a tomar.</w:t>
      </w:r>
      <w:r w:rsidRPr="00CB24C7">
        <w:rPr>
          <w:rFonts w:ascii="Arial" w:hAnsi="Arial" w:cs="Arial"/>
          <w:sz w:val="22"/>
          <w:szCs w:val="22"/>
        </w:rPr>
        <w:t xml:space="preserve"> </w:t>
      </w:r>
    </w:p>
    <w:p w14:paraId="1C540793" w14:textId="3A09B3E1" w:rsidR="0030125D" w:rsidRDefault="001E02C4" w:rsidP="0030125D">
      <w:pPr>
        <w:pStyle w:val="Prrafodelista"/>
        <w:numPr>
          <w:ilvl w:val="0"/>
          <w:numId w:val="3"/>
        </w:numPr>
        <w:jc w:val="both"/>
        <w:rPr>
          <w:rFonts w:ascii="Arial" w:hAnsi="Arial" w:cs="Arial"/>
          <w:sz w:val="22"/>
          <w:szCs w:val="22"/>
        </w:rPr>
      </w:pPr>
      <w:r w:rsidRPr="00CB24C7">
        <w:rPr>
          <w:rFonts w:ascii="Arial" w:hAnsi="Arial" w:cs="Arial"/>
          <w:sz w:val="22"/>
          <w:szCs w:val="22"/>
        </w:rPr>
        <w:t xml:space="preserve">Continuar con la participación de los </w:t>
      </w:r>
      <w:r>
        <w:rPr>
          <w:rFonts w:ascii="Arial" w:hAnsi="Arial" w:cs="Arial"/>
          <w:sz w:val="22"/>
          <w:szCs w:val="22"/>
        </w:rPr>
        <w:t xml:space="preserve">diferentes </w:t>
      </w:r>
      <w:r w:rsidRPr="00CB24C7">
        <w:rPr>
          <w:rFonts w:ascii="Arial" w:hAnsi="Arial" w:cs="Arial"/>
          <w:sz w:val="22"/>
          <w:szCs w:val="22"/>
        </w:rPr>
        <w:t xml:space="preserve">espacios que se generen con comunidades indígenas y campesinas, para </w:t>
      </w:r>
      <w:r>
        <w:rPr>
          <w:rFonts w:ascii="Arial" w:hAnsi="Arial" w:cs="Arial"/>
          <w:sz w:val="22"/>
          <w:szCs w:val="22"/>
        </w:rPr>
        <w:t>la articulación de</w:t>
      </w:r>
      <w:r w:rsidRPr="00CB24C7">
        <w:rPr>
          <w:rFonts w:ascii="Arial" w:hAnsi="Arial" w:cs="Arial"/>
          <w:sz w:val="22"/>
          <w:szCs w:val="22"/>
        </w:rPr>
        <w:t>l proceso de materialización de los subsidios</w:t>
      </w:r>
      <w:r>
        <w:rPr>
          <w:rFonts w:ascii="Arial" w:hAnsi="Arial" w:cs="Arial"/>
          <w:sz w:val="22"/>
          <w:szCs w:val="22"/>
        </w:rPr>
        <w:t xml:space="preserve"> que estén en el alcance y por fuera del alcance de los contratos celebrados con </w:t>
      </w:r>
      <w:proofErr w:type="spellStart"/>
      <w:r>
        <w:rPr>
          <w:rFonts w:ascii="Arial" w:hAnsi="Arial" w:cs="Arial"/>
          <w:sz w:val="22"/>
          <w:szCs w:val="22"/>
        </w:rPr>
        <w:t>Fiduagrari</w:t>
      </w:r>
      <w:r w:rsidR="0030125D">
        <w:rPr>
          <w:rFonts w:ascii="Arial" w:hAnsi="Arial" w:cs="Arial"/>
          <w:sz w:val="22"/>
          <w:szCs w:val="22"/>
        </w:rPr>
        <w:t>a</w:t>
      </w:r>
      <w:proofErr w:type="spellEnd"/>
      <w:r w:rsidR="0030125D">
        <w:rPr>
          <w:rFonts w:ascii="Arial" w:hAnsi="Arial" w:cs="Arial"/>
          <w:sz w:val="22"/>
          <w:szCs w:val="22"/>
        </w:rPr>
        <w:t xml:space="preserve">. </w:t>
      </w:r>
    </w:p>
    <w:p w14:paraId="2BA8DF54" w14:textId="348251E4" w:rsidR="0030125D" w:rsidRDefault="0030125D" w:rsidP="0030125D">
      <w:pPr>
        <w:pStyle w:val="Prrafodelista"/>
        <w:numPr>
          <w:ilvl w:val="0"/>
          <w:numId w:val="3"/>
        </w:numPr>
        <w:jc w:val="both"/>
        <w:rPr>
          <w:rFonts w:ascii="Arial" w:hAnsi="Arial" w:cs="Arial"/>
          <w:sz w:val="22"/>
          <w:szCs w:val="22"/>
        </w:rPr>
      </w:pPr>
      <w:r>
        <w:rPr>
          <w:rFonts w:ascii="Arial" w:hAnsi="Arial" w:cs="Arial"/>
          <w:sz w:val="22"/>
          <w:szCs w:val="22"/>
        </w:rPr>
        <w:t>D</w:t>
      </w:r>
      <w:r w:rsidRPr="00CB24C7">
        <w:rPr>
          <w:rFonts w:ascii="Arial" w:hAnsi="Arial" w:cs="Arial"/>
          <w:sz w:val="22"/>
          <w:szCs w:val="22"/>
        </w:rPr>
        <w:t xml:space="preserve">efinir una estrategia de fortalecimiento de la participación de beneficiarios del PVISR desde </w:t>
      </w:r>
      <w:r>
        <w:rPr>
          <w:rFonts w:ascii="Arial" w:hAnsi="Arial" w:cs="Arial"/>
          <w:sz w:val="22"/>
          <w:szCs w:val="22"/>
        </w:rPr>
        <w:t xml:space="preserve">el </w:t>
      </w:r>
      <w:r w:rsidRPr="00CB24C7">
        <w:rPr>
          <w:rFonts w:ascii="Arial" w:hAnsi="Arial" w:cs="Arial"/>
          <w:sz w:val="22"/>
          <w:szCs w:val="22"/>
        </w:rPr>
        <w:t>acompañamiento virtual y presencial a los comités</w:t>
      </w:r>
      <w:r>
        <w:rPr>
          <w:rFonts w:ascii="Arial" w:hAnsi="Arial" w:cs="Arial"/>
          <w:sz w:val="22"/>
          <w:szCs w:val="22"/>
        </w:rPr>
        <w:t xml:space="preserve"> para blindar el procedimiento de li</w:t>
      </w:r>
      <w:r w:rsidR="00024870">
        <w:rPr>
          <w:rFonts w:ascii="Arial" w:hAnsi="Arial" w:cs="Arial"/>
          <w:sz w:val="22"/>
          <w:szCs w:val="22"/>
        </w:rPr>
        <w:t xml:space="preserve">quidación. </w:t>
      </w:r>
    </w:p>
    <w:p w14:paraId="545645C7" w14:textId="63C6A329" w:rsidR="00024870" w:rsidRDefault="00024870" w:rsidP="0030125D">
      <w:pPr>
        <w:pStyle w:val="Prrafodelista"/>
        <w:numPr>
          <w:ilvl w:val="0"/>
          <w:numId w:val="3"/>
        </w:numPr>
        <w:jc w:val="both"/>
        <w:rPr>
          <w:rFonts w:ascii="Arial" w:hAnsi="Arial" w:cs="Arial"/>
          <w:sz w:val="22"/>
          <w:szCs w:val="22"/>
        </w:rPr>
      </w:pPr>
      <w:r>
        <w:rPr>
          <w:rFonts w:ascii="Arial" w:hAnsi="Arial" w:cs="Arial"/>
          <w:sz w:val="22"/>
          <w:szCs w:val="22"/>
        </w:rPr>
        <w:t xml:space="preserve">De acuerdo con el dimensionamiento de </w:t>
      </w:r>
      <w:r w:rsidR="008D07E7">
        <w:rPr>
          <w:rFonts w:ascii="Arial" w:hAnsi="Arial" w:cs="Arial"/>
          <w:sz w:val="22"/>
          <w:szCs w:val="22"/>
        </w:rPr>
        <w:t>los subsidios</w:t>
      </w:r>
      <w:r>
        <w:rPr>
          <w:rFonts w:ascii="Arial" w:hAnsi="Arial" w:cs="Arial"/>
          <w:sz w:val="22"/>
          <w:szCs w:val="22"/>
        </w:rPr>
        <w:t xml:space="preserve"> que quedan en cabeza del Ministerio de Agricultura y Desarrollo Rural, se </w:t>
      </w:r>
      <w:r w:rsidR="008D07E7">
        <w:rPr>
          <w:rFonts w:ascii="Arial" w:hAnsi="Arial" w:cs="Arial"/>
          <w:sz w:val="22"/>
          <w:szCs w:val="22"/>
        </w:rPr>
        <w:t xml:space="preserve">requiere construir una metodología encaminada a planear con detalle la siguiente </w:t>
      </w:r>
      <w:r w:rsidR="009D0EA9">
        <w:rPr>
          <w:rFonts w:ascii="Arial" w:hAnsi="Arial" w:cs="Arial"/>
          <w:sz w:val="22"/>
          <w:szCs w:val="22"/>
        </w:rPr>
        <w:t xml:space="preserve">vigencia y hasta el cierre del proyecto de vivienda. </w:t>
      </w:r>
    </w:p>
    <w:p w14:paraId="35FB6B79" w14:textId="77777777" w:rsidR="00D821C3" w:rsidRPr="009D0EA9" w:rsidRDefault="00D821C3" w:rsidP="009D0EA9">
      <w:pPr>
        <w:pStyle w:val="Prrafodelista"/>
        <w:ind w:left="1440"/>
        <w:jc w:val="both"/>
        <w:rPr>
          <w:rFonts w:ascii="Arial" w:hAnsi="Arial" w:cs="Arial"/>
          <w:sz w:val="22"/>
          <w:szCs w:val="22"/>
        </w:rPr>
      </w:pPr>
    </w:p>
    <w:p w14:paraId="6528895D" w14:textId="77777777" w:rsidR="00D821C3" w:rsidRDefault="00D821C3" w:rsidP="00D821C3">
      <w:pPr>
        <w:pStyle w:val="Prrafodelista"/>
        <w:ind w:left="502"/>
        <w:jc w:val="both"/>
        <w:rPr>
          <w:rFonts w:ascii="Arial" w:hAnsi="Arial" w:cs="Arial"/>
          <w:b/>
          <w:color w:val="4472C4" w:themeColor="accent1"/>
          <w:sz w:val="22"/>
          <w:szCs w:val="22"/>
        </w:rPr>
      </w:pPr>
    </w:p>
    <w:p w14:paraId="48524576" w14:textId="08F3D6AE" w:rsidR="00D821C3" w:rsidRPr="00CB71B7" w:rsidRDefault="003B3691" w:rsidP="005F760B">
      <w:pPr>
        <w:pStyle w:val="Prrafodelista"/>
        <w:numPr>
          <w:ilvl w:val="1"/>
          <w:numId w:val="7"/>
        </w:numPr>
        <w:jc w:val="both"/>
        <w:rPr>
          <w:rFonts w:ascii="Arial" w:hAnsi="Arial" w:cs="Arial"/>
          <w:b/>
          <w:color w:val="385623" w:themeColor="accent6" w:themeShade="80"/>
          <w:sz w:val="22"/>
          <w:szCs w:val="22"/>
        </w:rPr>
      </w:pPr>
      <w:r w:rsidRPr="00CB71B7">
        <w:rPr>
          <w:rFonts w:ascii="Arial" w:hAnsi="Arial" w:cs="Arial"/>
          <w:b/>
          <w:color w:val="385623" w:themeColor="accent6" w:themeShade="80"/>
          <w:sz w:val="22"/>
          <w:szCs w:val="22"/>
        </w:rPr>
        <w:t xml:space="preserve">Gestión encaminada a </w:t>
      </w:r>
      <w:r w:rsidR="0030125D" w:rsidRPr="00CB71B7">
        <w:rPr>
          <w:rFonts w:ascii="Arial" w:hAnsi="Arial" w:cs="Arial"/>
          <w:b/>
          <w:color w:val="385623" w:themeColor="accent6" w:themeShade="80"/>
          <w:sz w:val="22"/>
          <w:szCs w:val="22"/>
        </w:rPr>
        <w:t xml:space="preserve">la materialización de </w:t>
      </w:r>
      <w:r w:rsidR="00FC4FD4" w:rsidRPr="00CB71B7">
        <w:rPr>
          <w:rFonts w:ascii="Arial" w:hAnsi="Arial" w:cs="Arial"/>
          <w:b/>
          <w:color w:val="385623" w:themeColor="accent6" w:themeShade="80"/>
          <w:sz w:val="22"/>
          <w:szCs w:val="22"/>
        </w:rPr>
        <w:t xml:space="preserve">los subsidios </w:t>
      </w:r>
      <w:r w:rsidR="00EB5815" w:rsidRPr="00CB71B7">
        <w:rPr>
          <w:rFonts w:ascii="Arial" w:hAnsi="Arial" w:cs="Arial"/>
          <w:b/>
          <w:color w:val="385623" w:themeColor="accent6" w:themeShade="80"/>
          <w:sz w:val="22"/>
          <w:szCs w:val="22"/>
        </w:rPr>
        <w:t>bajo las</w:t>
      </w:r>
      <w:r w:rsidR="00DF22A3" w:rsidRPr="00CB71B7">
        <w:rPr>
          <w:rFonts w:ascii="Arial" w:hAnsi="Arial" w:cs="Arial"/>
          <w:b/>
          <w:color w:val="385623" w:themeColor="accent6" w:themeShade="80"/>
          <w:sz w:val="22"/>
          <w:szCs w:val="22"/>
        </w:rPr>
        <w:t xml:space="preserve"> diversas modalidades que se habilitan a partir de la liquidación de</w:t>
      </w:r>
      <w:r w:rsidRPr="00CB71B7">
        <w:rPr>
          <w:rFonts w:ascii="Arial" w:hAnsi="Arial" w:cs="Arial"/>
          <w:b/>
          <w:color w:val="385623" w:themeColor="accent6" w:themeShade="80"/>
          <w:sz w:val="22"/>
          <w:szCs w:val="22"/>
        </w:rPr>
        <w:t xml:space="preserve"> </w:t>
      </w:r>
      <w:r w:rsidR="00DF22A3" w:rsidRPr="00CB71B7">
        <w:rPr>
          <w:rFonts w:ascii="Arial" w:hAnsi="Arial" w:cs="Arial"/>
          <w:b/>
          <w:color w:val="385623" w:themeColor="accent6" w:themeShade="80"/>
          <w:sz w:val="22"/>
          <w:szCs w:val="22"/>
        </w:rPr>
        <w:t>l</w:t>
      </w:r>
      <w:r w:rsidRPr="00CB71B7">
        <w:rPr>
          <w:rFonts w:ascii="Arial" w:hAnsi="Arial" w:cs="Arial"/>
          <w:b/>
          <w:color w:val="385623" w:themeColor="accent6" w:themeShade="80"/>
          <w:sz w:val="22"/>
          <w:szCs w:val="22"/>
        </w:rPr>
        <w:t>os</w:t>
      </w:r>
      <w:r w:rsidR="00DF22A3" w:rsidRPr="00CB71B7">
        <w:rPr>
          <w:rFonts w:ascii="Arial" w:hAnsi="Arial" w:cs="Arial"/>
          <w:b/>
          <w:color w:val="385623" w:themeColor="accent6" w:themeShade="80"/>
          <w:sz w:val="22"/>
          <w:szCs w:val="22"/>
        </w:rPr>
        <w:t xml:space="preserve"> contrato</w:t>
      </w:r>
      <w:r w:rsidRPr="00CB71B7">
        <w:rPr>
          <w:rFonts w:ascii="Arial" w:hAnsi="Arial" w:cs="Arial"/>
          <w:b/>
          <w:color w:val="385623" w:themeColor="accent6" w:themeShade="80"/>
          <w:sz w:val="22"/>
          <w:szCs w:val="22"/>
        </w:rPr>
        <w:t>s</w:t>
      </w:r>
      <w:r w:rsidR="00DF22A3" w:rsidRPr="00CB71B7">
        <w:rPr>
          <w:rFonts w:ascii="Arial" w:hAnsi="Arial" w:cs="Arial"/>
          <w:b/>
          <w:color w:val="385623" w:themeColor="accent6" w:themeShade="80"/>
          <w:sz w:val="22"/>
          <w:szCs w:val="22"/>
        </w:rPr>
        <w:t xml:space="preserve"> con </w:t>
      </w:r>
      <w:proofErr w:type="spellStart"/>
      <w:r w:rsidR="008079C0" w:rsidRPr="00CB71B7">
        <w:rPr>
          <w:rFonts w:ascii="Arial" w:hAnsi="Arial" w:cs="Arial"/>
          <w:b/>
          <w:color w:val="385623" w:themeColor="accent6" w:themeShade="80"/>
          <w:sz w:val="22"/>
          <w:szCs w:val="22"/>
        </w:rPr>
        <w:t>F</w:t>
      </w:r>
      <w:r w:rsidR="00DF22A3" w:rsidRPr="00CB71B7">
        <w:rPr>
          <w:rFonts w:ascii="Arial" w:hAnsi="Arial" w:cs="Arial"/>
          <w:b/>
          <w:color w:val="385623" w:themeColor="accent6" w:themeShade="80"/>
          <w:sz w:val="22"/>
          <w:szCs w:val="22"/>
        </w:rPr>
        <w:t>iduagraria</w:t>
      </w:r>
      <w:proofErr w:type="spellEnd"/>
      <w:r w:rsidRPr="00CB71B7">
        <w:rPr>
          <w:rFonts w:ascii="Arial" w:hAnsi="Arial" w:cs="Arial"/>
          <w:b/>
          <w:color w:val="385623" w:themeColor="accent6" w:themeShade="80"/>
          <w:sz w:val="22"/>
          <w:szCs w:val="22"/>
        </w:rPr>
        <w:t xml:space="preserve"> S.A.</w:t>
      </w:r>
      <w:r w:rsidR="00DF22A3" w:rsidRPr="00CB71B7">
        <w:rPr>
          <w:rFonts w:ascii="Arial" w:hAnsi="Arial" w:cs="Arial"/>
          <w:b/>
          <w:color w:val="385623" w:themeColor="accent6" w:themeShade="80"/>
          <w:sz w:val="22"/>
          <w:szCs w:val="22"/>
        </w:rPr>
        <w:t xml:space="preserve"> </w:t>
      </w:r>
    </w:p>
    <w:p w14:paraId="6F1EA1C8" w14:textId="3AB03709" w:rsidR="00E71E2B" w:rsidRPr="00CB79CB" w:rsidRDefault="00CB79CB" w:rsidP="00E71E2B">
      <w:pPr>
        <w:pStyle w:val="Prrafodelista"/>
        <w:ind w:left="502"/>
        <w:jc w:val="both"/>
        <w:rPr>
          <w:rFonts w:ascii="Arial" w:hAnsi="Arial" w:cs="Arial"/>
          <w:b/>
          <w:color w:val="EE0000"/>
          <w:sz w:val="22"/>
          <w:szCs w:val="22"/>
        </w:rPr>
      </w:pPr>
      <w:r w:rsidRPr="00CB79CB">
        <w:rPr>
          <w:rFonts w:ascii="Arial" w:hAnsi="Arial" w:cs="Arial"/>
          <w:b/>
          <w:color w:val="EE0000"/>
          <w:sz w:val="22"/>
          <w:szCs w:val="22"/>
        </w:rPr>
        <w:t>JOHANA WENDY</w:t>
      </w:r>
    </w:p>
    <w:p w14:paraId="3431BC3E" w14:textId="77777777" w:rsidR="00E71E2B" w:rsidRPr="008079C0" w:rsidRDefault="00E71E2B" w:rsidP="00E71E2B">
      <w:pPr>
        <w:pStyle w:val="Prrafodelista"/>
        <w:numPr>
          <w:ilvl w:val="0"/>
          <w:numId w:val="3"/>
        </w:numPr>
        <w:jc w:val="both"/>
        <w:rPr>
          <w:rFonts w:ascii="Arial" w:eastAsiaTheme="minorEastAsia" w:hAnsi="Arial" w:cs="Arial"/>
          <w:color w:val="000000" w:themeColor="text1"/>
          <w:sz w:val="22"/>
          <w:szCs w:val="22"/>
          <w:lang w:eastAsia="en-US"/>
        </w:rPr>
      </w:pPr>
      <w:r>
        <w:rPr>
          <w:rFonts w:ascii="Arial" w:hAnsi="Arial" w:cs="Arial"/>
          <w:sz w:val="22"/>
          <w:szCs w:val="22"/>
        </w:rPr>
        <w:t xml:space="preserve">Teniendo en cuenta que el ajuste en el alcance del contrato de con </w:t>
      </w:r>
      <w:proofErr w:type="spellStart"/>
      <w:r>
        <w:rPr>
          <w:rFonts w:ascii="Arial" w:hAnsi="Arial" w:cs="Arial"/>
          <w:sz w:val="22"/>
          <w:szCs w:val="22"/>
        </w:rPr>
        <w:t>Fiduagraria</w:t>
      </w:r>
      <w:proofErr w:type="spellEnd"/>
      <w:r>
        <w:rPr>
          <w:rFonts w:ascii="Arial" w:hAnsi="Arial" w:cs="Arial"/>
          <w:sz w:val="22"/>
          <w:szCs w:val="22"/>
        </w:rPr>
        <w:t xml:space="preserve"> y la entrada en la etapa de liquidación, conlleva a enfocar los primeros esfuerzos del año 2026 a materializar los subsidios a los cuales se les cambió la metodología. En línea con lo expuesto, se requiere medir con detalle el avance en dicha labor.</w:t>
      </w:r>
    </w:p>
    <w:p w14:paraId="6DD05F9A" w14:textId="77777777" w:rsidR="008079C0" w:rsidRPr="00EB5815" w:rsidRDefault="008079C0" w:rsidP="008079C0">
      <w:pPr>
        <w:pStyle w:val="Prrafodelista"/>
        <w:ind w:left="1440"/>
        <w:jc w:val="both"/>
        <w:rPr>
          <w:rFonts w:ascii="Arial" w:eastAsiaTheme="minorEastAsia" w:hAnsi="Arial" w:cs="Arial"/>
          <w:color w:val="000000" w:themeColor="text1"/>
          <w:sz w:val="22"/>
          <w:szCs w:val="22"/>
          <w:lang w:eastAsia="en-US"/>
        </w:rPr>
      </w:pPr>
    </w:p>
    <w:p w14:paraId="08734850" w14:textId="51ECD563" w:rsidR="00EB5815" w:rsidRDefault="008079C0" w:rsidP="00E71E2B">
      <w:pPr>
        <w:pStyle w:val="Prrafodelista"/>
        <w:numPr>
          <w:ilvl w:val="0"/>
          <w:numId w:val="3"/>
        </w:numPr>
        <w:jc w:val="both"/>
        <w:rPr>
          <w:rFonts w:ascii="Arial" w:eastAsiaTheme="minorEastAsia" w:hAnsi="Arial" w:cs="Arial"/>
          <w:color w:val="000000" w:themeColor="text1"/>
          <w:sz w:val="22"/>
          <w:szCs w:val="22"/>
          <w:lang w:eastAsia="en-US"/>
        </w:rPr>
      </w:pPr>
      <w:r>
        <w:rPr>
          <w:rFonts w:ascii="Arial" w:eastAsiaTheme="minorEastAsia" w:hAnsi="Arial" w:cs="Arial"/>
          <w:color w:val="000000" w:themeColor="text1"/>
          <w:sz w:val="22"/>
          <w:szCs w:val="22"/>
          <w:lang w:eastAsia="en-US"/>
        </w:rPr>
        <w:t xml:space="preserve">Preparar la información solicitada por los miembros de la Comisión </w:t>
      </w:r>
      <w:r w:rsidR="00725E54">
        <w:rPr>
          <w:rFonts w:ascii="Arial" w:eastAsiaTheme="minorEastAsia" w:hAnsi="Arial" w:cs="Arial"/>
          <w:color w:val="000000" w:themeColor="text1"/>
          <w:sz w:val="22"/>
          <w:szCs w:val="22"/>
          <w:lang w:eastAsia="en-US"/>
        </w:rPr>
        <w:t>I</w:t>
      </w:r>
      <w:r>
        <w:rPr>
          <w:rFonts w:ascii="Arial" w:eastAsiaTheme="minorEastAsia" w:hAnsi="Arial" w:cs="Arial"/>
          <w:color w:val="000000" w:themeColor="text1"/>
          <w:sz w:val="22"/>
          <w:szCs w:val="22"/>
          <w:lang w:eastAsia="en-US"/>
        </w:rPr>
        <w:t xml:space="preserve">ntersectorial </w:t>
      </w:r>
      <w:r w:rsidR="00725E54">
        <w:rPr>
          <w:rFonts w:ascii="Arial" w:eastAsiaTheme="minorEastAsia" w:hAnsi="Arial" w:cs="Arial"/>
          <w:color w:val="000000" w:themeColor="text1"/>
          <w:sz w:val="22"/>
          <w:szCs w:val="22"/>
          <w:lang w:eastAsia="en-US"/>
        </w:rPr>
        <w:t xml:space="preserve">consolidados en este informe, con miras a adoptar la política en debida forma. </w:t>
      </w:r>
    </w:p>
    <w:p w14:paraId="34167B3E" w14:textId="77777777" w:rsidR="000D2D12" w:rsidRPr="000D2D12" w:rsidRDefault="000D2D12" w:rsidP="000D2D12">
      <w:pPr>
        <w:pStyle w:val="Prrafodelista"/>
        <w:rPr>
          <w:rFonts w:ascii="Arial" w:eastAsiaTheme="minorEastAsia" w:hAnsi="Arial" w:cs="Arial"/>
          <w:color w:val="000000" w:themeColor="text1"/>
          <w:sz w:val="22"/>
          <w:szCs w:val="22"/>
          <w:lang w:eastAsia="en-US"/>
        </w:rPr>
      </w:pPr>
    </w:p>
    <w:p w14:paraId="2063EA0B" w14:textId="1F6A6871" w:rsidR="000D2D12" w:rsidRDefault="000D2D12" w:rsidP="00E71E2B">
      <w:pPr>
        <w:pStyle w:val="Prrafodelista"/>
        <w:numPr>
          <w:ilvl w:val="0"/>
          <w:numId w:val="3"/>
        </w:numPr>
        <w:jc w:val="both"/>
        <w:rPr>
          <w:rFonts w:ascii="Arial" w:eastAsiaTheme="minorEastAsia" w:hAnsi="Arial" w:cs="Arial"/>
          <w:color w:val="000000" w:themeColor="text1"/>
          <w:sz w:val="22"/>
          <w:szCs w:val="22"/>
          <w:lang w:eastAsia="en-US"/>
        </w:rPr>
      </w:pPr>
      <w:r>
        <w:rPr>
          <w:rFonts w:ascii="Arial" w:eastAsiaTheme="minorEastAsia" w:hAnsi="Arial" w:cs="Arial"/>
          <w:color w:val="000000" w:themeColor="text1"/>
          <w:sz w:val="22"/>
          <w:szCs w:val="22"/>
          <w:lang w:eastAsia="en-US"/>
        </w:rPr>
        <w:t xml:space="preserve">Teniendo en cuenta que la Contraloría General de la República emitió un informe de hallazgos y recomendaciones, se solicita elaborar el plan de acción </w:t>
      </w:r>
      <w:r>
        <w:rPr>
          <w:rFonts w:ascii="Arial" w:eastAsiaTheme="minorEastAsia" w:hAnsi="Arial" w:cs="Arial"/>
          <w:color w:val="000000" w:themeColor="text1"/>
          <w:sz w:val="22"/>
          <w:szCs w:val="22"/>
        </w:rPr>
        <w:t>dirigido a optimizar la gestión y superar las deficiencias identificadas por la Contraloría.</w:t>
      </w:r>
    </w:p>
    <w:p w14:paraId="7A46CA5C" w14:textId="77777777" w:rsidR="000D2D12" w:rsidRPr="000D2D12" w:rsidRDefault="000D2D12" w:rsidP="000D2D12">
      <w:pPr>
        <w:pStyle w:val="Prrafodelista"/>
        <w:rPr>
          <w:rFonts w:ascii="Arial" w:eastAsiaTheme="minorEastAsia" w:hAnsi="Arial" w:cs="Arial"/>
          <w:color w:val="000000" w:themeColor="text1"/>
          <w:sz w:val="22"/>
          <w:szCs w:val="22"/>
          <w:lang w:eastAsia="en-US"/>
        </w:rPr>
      </w:pPr>
    </w:p>
    <w:p w14:paraId="2EAE92E9" w14:textId="68D9F4BE" w:rsidR="000D2D12" w:rsidRPr="006406D6" w:rsidRDefault="000D2D12" w:rsidP="00E71E2B">
      <w:pPr>
        <w:pStyle w:val="Prrafodelista"/>
        <w:numPr>
          <w:ilvl w:val="0"/>
          <w:numId w:val="3"/>
        </w:numPr>
        <w:jc w:val="both"/>
        <w:rPr>
          <w:rFonts w:ascii="Arial" w:eastAsiaTheme="minorEastAsia" w:hAnsi="Arial" w:cs="Arial"/>
          <w:color w:val="000000" w:themeColor="text1"/>
          <w:sz w:val="22"/>
          <w:szCs w:val="22"/>
          <w:lang w:eastAsia="en-US"/>
        </w:rPr>
      </w:pPr>
      <w:r>
        <w:rPr>
          <w:rFonts w:ascii="Arial" w:eastAsiaTheme="minorEastAsia" w:hAnsi="Arial" w:cs="Arial"/>
          <w:color w:val="000000" w:themeColor="text1"/>
          <w:sz w:val="22"/>
          <w:szCs w:val="22"/>
          <w:lang w:eastAsia="en-US"/>
        </w:rPr>
        <w:lastRenderedPageBreak/>
        <w:t xml:space="preserve">Se requiere </w:t>
      </w:r>
      <w:r w:rsidR="00291ED4">
        <w:rPr>
          <w:rFonts w:ascii="Arial" w:eastAsiaTheme="minorEastAsia" w:hAnsi="Arial" w:cs="Arial"/>
          <w:color w:val="000000" w:themeColor="text1"/>
          <w:sz w:val="22"/>
          <w:szCs w:val="22"/>
          <w:lang w:eastAsia="en-US"/>
        </w:rPr>
        <w:t xml:space="preserve">consultar el normograma periódicamente para establecer las modificaciones y actualizaciones a adoptar que afecte transversalmente el programa de vivienda. </w:t>
      </w:r>
      <w:r>
        <w:rPr>
          <w:rFonts w:ascii="Arial" w:eastAsiaTheme="minorEastAsia" w:hAnsi="Arial" w:cs="Arial"/>
          <w:color w:val="000000" w:themeColor="text1"/>
          <w:sz w:val="22"/>
          <w:szCs w:val="22"/>
          <w:lang w:eastAsia="en-US"/>
        </w:rPr>
        <w:t xml:space="preserve"> </w:t>
      </w:r>
    </w:p>
    <w:p w14:paraId="3130AD58" w14:textId="77777777" w:rsidR="008226B5" w:rsidRPr="00CB24C7" w:rsidRDefault="008226B5" w:rsidP="00CB24C7">
      <w:pPr>
        <w:pStyle w:val="Prrafodelista"/>
        <w:jc w:val="both"/>
        <w:rPr>
          <w:rFonts w:ascii="Arial" w:hAnsi="Arial" w:cs="Arial"/>
          <w:b/>
          <w:color w:val="4472C4" w:themeColor="accent1"/>
          <w:sz w:val="22"/>
          <w:szCs w:val="22"/>
        </w:rPr>
      </w:pPr>
    </w:p>
    <w:p w14:paraId="058DF1A1" w14:textId="77777777" w:rsidR="006406D6" w:rsidRDefault="006406D6" w:rsidP="006406D6">
      <w:pPr>
        <w:jc w:val="both"/>
        <w:rPr>
          <w:rFonts w:ascii="Arial" w:eastAsiaTheme="minorEastAsia" w:hAnsi="Arial" w:cs="Arial"/>
          <w:color w:val="000000" w:themeColor="text1"/>
          <w:sz w:val="22"/>
          <w:szCs w:val="22"/>
          <w:lang w:eastAsia="en-US"/>
        </w:rPr>
      </w:pPr>
    </w:p>
    <w:p w14:paraId="3AA75C5D" w14:textId="77777777" w:rsidR="006406D6" w:rsidRDefault="006406D6" w:rsidP="006406D6">
      <w:pPr>
        <w:jc w:val="both"/>
        <w:rPr>
          <w:rFonts w:ascii="Arial" w:eastAsiaTheme="minorEastAsia" w:hAnsi="Arial" w:cs="Arial"/>
          <w:color w:val="000000" w:themeColor="text1"/>
          <w:sz w:val="22"/>
          <w:szCs w:val="22"/>
          <w:lang w:eastAsia="en-US"/>
        </w:rPr>
      </w:pPr>
    </w:p>
    <w:p w14:paraId="41B60EDA" w14:textId="058B2669" w:rsidR="00CB79CB" w:rsidRDefault="00CB79CB" w:rsidP="00CB79CB">
      <w:pPr>
        <w:pStyle w:val="Prrafodelista"/>
        <w:numPr>
          <w:ilvl w:val="1"/>
          <w:numId w:val="7"/>
        </w:numPr>
        <w:jc w:val="both"/>
        <w:rPr>
          <w:rFonts w:ascii="Arial" w:hAnsi="Arial" w:cs="Arial"/>
          <w:b/>
          <w:color w:val="385623" w:themeColor="accent6" w:themeShade="80"/>
          <w:sz w:val="22"/>
          <w:szCs w:val="22"/>
        </w:rPr>
      </w:pPr>
      <w:r>
        <w:rPr>
          <w:rFonts w:ascii="Arial" w:hAnsi="Arial" w:cs="Arial"/>
          <w:b/>
          <w:color w:val="385623" w:themeColor="accent6" w:themeShade="80"/>
          <w:sz w:val="22"/>
          <w:szCs w:val="22"/>
        </w:rPr>
        <w:t>RECOMENDACIONES SOBRE EL NUEVO OPERAADOR</w:t>
      </w:r>
    </w:p>
    <w:p w14:paraId="1BE2F2B4" w14:textId="34852328" w:rsidR="00CB79CB" w:rsidRPr="00CB79CB" w:rsidRDefault="00CB79CB" w:rsidP="00CB79CB">
      <w:pPr>
        <w:pStyle w:val="Prrafodelista"/>
        <w:ind w:left="502"/>
        <w:jc w:val="both"/>
        <w:rPr>
          <w:rFonts w:ascii="Arial" w:hAnsi="Arial" w:cs="Arial"/>
          <w:b/>
          <w:color w:val="EE0000"/>
          <w:sz w:val="22"/>
          <w:szCs w:val="22"/>
        </w:rPr>
      </w:pPr>
      <w:r w:rsidRPr="00CB79CB">
        <w:rPr>
          <w:rFonts w:ascii="Arial" w:hAnsi="Arial" w:cs="Arial"/>
          <w:b/>
          <w:color w:val="EE0000"/>
          <w:sz w:val="22"/>
          <w:szCs w:val="22"/>
        </w:rPr>
        <w:t xml:space="preserve">JOHANA – WENDY </w:t>
      </w:r>
    </w:p>
    <w:p w14:paraId="7F80AD40" w14:textId="77777777" w:rsidR="006406D6" w:rsidRDefault="006406D6" w:rsidP="006406D6">
      <w:pPr>
        <w:jc w:val="both"/>
        <w:rPr>
          <w:rFonts w:ascii="Arial" w:eastAsiaTheme="minorEastAsia" w:hAnsi="Arial" w:cs="Arial"/>
          <w:color w:val="000000" w:themeColor="text1"/>
          <w:sz w:val="22"/>
          <w:szCs w:val="22"/>
          <w:lang w:eastAsia="en-US"/>
        </w:rPr>
      </w:pPr>
    </w:p>
    <w:p w14:paraId="7D0D71FC" w14:textId="77777777" w:rsidR="006406D6" w:rsidRDefault="006406D6" w:rsidP="006406D6">
      <w:pPr>
        <w:jc w:val="both"/>
        <w:rPr>
          <w:rFonts w:ascii="Arial" w:eastAsiaTheme="minorEastAsia" w:hAnsi="Arial" w:cs="Arial"/>
          <w:color w:val="000000" w:themeColor="text1"/>
          <w:sz w:val="22"/>
          <w:szCs w:val="22"/>
          <w:lang w:eastAsia="en-US"/>
        </w:rPr>
      </w:pPr>
    </w:p>
    <w:p w14:paraId="5DC874DB" w14:textId="0FD302BF" w:rsidR="00CB79CB" w:rsidRDefault="00CB79CB" w:rsidP="00DB46B9">
      <w:pPr>
        <w:pStyle w:val="Prrafodelista"/>
        <w:numPr>
          <w:ilvl w:val="1"/>
          <w:numId w:val="7"/>
        </w:numPr>
        <w:ind w:left="142"/>
        <w:jc w:val="both"/>
        <w:rPr>
          <w:rFonts w:ascii="Arial" w:hAnsi="Arial" w:cs="Arial"/>
          <w:b/>
          <w:color w:val="385623" w:themeColor="accent6" w:themeShade="80"/>
          <w:sz w:val="22"/>
          <w:szCs w:val="22"/>
        </w:rPr>
      </w:pPr>
      <w:r w:rsidRPr="00CB79CB">
        <w:rPr>
          <w:rFonts w:ascii="Arial" w:hAnsi="Arial" w:cs="Arial"/>
          <w:b/>
          <w:color w:val="385623" w:themeColor="accent6" w:themeShade="80"/>
          <w:sz w:val="22"/>
          <w:szCs w:val="22"/>
        </w:rPr>
        <w:t>RECOMENDACIONES DE DIÁLOGO SOCIAL</w:t>
      </w:r>
    </w:p>
    <w:p w14:paraId="5099F3E7" w14:textId="060BE847" w:rsidR="00CB79CB" w:rsidRPr="00CB79CB" w:rsidRDefault="00CB79CB" w:rsidP="00CB79CB">
      <w:pPr>
        <w:pStyle w:val="Prrafodelista"/>
        <w:ind w:left="142"/>
        <w:jc w:val="both"/>
        <w:rPr>
          <w:rFonts w:ascii="Arial" w:hAnsi="Arial" w:cs="Arial"/>
          <w:b/>
          <w:color w:val="EE0000"/>
          <w:sz w:val="22"/>
          <w:szCs w:val="22"/>
        </w:rPr>
      </w:pPr>
      <w:r>
        <w:rPr>
          <w:rFonts w:ascii="Arial" w:hAnsi="Arial" w:cs="Arial"/>
          <w:b/>
          <w:color w:val="EE0000"/>
          <w:sz w:val="22"/>
          <w:szCs w:val="22"/>
        </w:rPr>
        <w:t xml:space="preserve">CESAR – SERGIO - </w:t>
      </w:r>
      <w:r w:rsidRPr="00CB79CB">
        <w:rPr>
          <w:rFonts w:ascii="Arial" w:hAnsi="Arial" w:cs="Arial"/>
          <w:b/>
          <w:color w:val="EE0000"/>
          <w:sz w:val="22"/>
          <w:szCs w:val="22"/>
        </w:rPr>
        <w:t xml:space="preserve">CATALINA </w:t>
      </w:r>
    </w:p>
    <w:p w14:paraId="6D786BC9" w14:textId="2A740F64" w:rsidR="006406D6" w:rsidRDefault="006406D6" w:rsidP="00523EDF">
      <w:pPr>
        <w:jc w:val="both"/>
        <w:rPr>
          <w:rFonts w:ascii="Arial" w:eastAsiaTheme="minorEastAsia" w:hAnsi="Arial" w:cs="Arial"/>
          <w:color w:val="000000" w:themeColor="text1"/>
          <w:sz w:val="22"/>
          <w:szCs w:val="22"/>
          <w:lang w:eastAsia="en-US"/>
        </w:rPr>
      </w:pPr>
    </w:p>
    <w:p w14:paraId="52A517BD" w14:textId="77777777" w:rsidR="00523EDF" w:rsidRDefault="00523EDF" w:rsidP="00523EDF">
      <w:pPr>
        <w:jc w:val="both"/>
        <w:rPr>
          <w:rFonts w:ascii="Arial" w:eastAsiaTheme="minorEastAsia" w:hAnsi="Arial" w:cs="Arial"/>
          <w:color w:val="000000" w:themeColor="text1"/>
          <w:sz w:val="22"/>
          <w:szCs w:val="22"/>
          <w:lang w:eastAsia="en-US"/>
        </w:rPr>
      </w:pPr>
    </w:p>
    <w:p w14:paraId="03E68ECC" w14:textId="77777777" w:rsidR="00523EDF" w:rsidRPr="008B2E04" w:rsidRDefault="00523EDF" w:rsidP="00523EDF">
      <w:pPr>
        <w:jc w:val="both"/>
        <w:rPr>
          <w:rFonts w:ascii="Arial" w:eastAsiaTheme="minorEastAsia" w:hAnsi="Arial" w:cs="Arial"/>
          <w:color w:val="FF0000"/>
          <w:sz w:val="22"/>
          <w:szCs w:val="22"/>
          <w:lang w:eastAsia="en-US"/>
        </w:rPr>
      </w:pPr>
    </w:p>
    <w:p w14:paraId="1EEF1B6D" w14:textId="18C5B806" w:rsidR="00523EDF" w:rsidRPr="008B2E04" w:rsidRDefault="00523EDF" w:rsidP="00523EDF">
      <w:pPr>
        <w:jc w:val="both"/>
        <w:rPr>
          <w:rFonts w:ascii="Arial" w:eastAsiaTheme="minorEastAsia" w:hAnsi="Arial" w:cs="Arial"/>
          <w:color w:val="FF0000"/>
          <w:sz w:val="22"/>
          <w:szCs w:val="22"/>
          <w:lang w:eastAsia="en-US"/>
        </w:rPr>
      </w:pPr>
      <w:r w:rsidRPr="008B2E04">
        <w:rPr>
          <w:rFonts w:ascii="Arial" w:eastAsiaTheme="minorEastAsia" w:hAnsi="Arial" w:cs="Arial"/>
          <w:color w:val="FF0000"/>
          <w:sz w:val="22"/>
          <w:szCs w:val="22"/>
          <w:lang w:eastAsia="en-US"/>
        </w:rPr>
        <w:t xml:space="preserve">Catalina teniendo en cuenta que no pusiste el nombre de </w:t>
      </w:r>
      <w:r w:rsidR="008B2E04" w:rsidRPr="008B2E04">
        <w:rPr>
          <w:rFonts w:ascii="Arial" w:eastAsiaTheme="minorEastAsia" w:hAnsi="Arial" w:cs="Arial"/>
          <w:color w:val="FF0000"/>
          <w:sz w:val="22"/>
          <w:szCs w:val="22"/>
          <w:lang w:eastAsia="en-US"/>
        </w:rPr>
        <w:t>Sebastián</w:t>
      </w:r>
      <w:r w:rsidRPr="008B2E04">
        <w:rPr>
          <w:rFonts w:ascii="Arial" w:eastAsiaTheme="minorEastAsia" w:hAnsi="Arial" w:cs="Arial"/>
          <w:color w:val="FF0000"/>
          <w:sz w:val="22"/>
          <w:szCs w:val="22"/>
          <w:lang w:eastAsia="en-US"/>
        </w:rPr>
        <w:t xml:space="preserve"> ni el </w:t>
      </w:r>
      <w:r w:rsidR="008B2E04" w:rsidRPr="008B2E04">
        <w:rPr>
          <w:rFonts w:ascii="Arial" w:eastAsiaTheme="minorEastAsia" w:hAnsi="Arial" w:cs="Arial"/>
          <w:color w:val="FF0000"/>
          <w:sz w:val="22"/>
          <w:szCs w:val="22"/>
          <w:lang w:eastAsia="en-US"/>
        </w:rPr>
        <w:t>mío</w:t>
      </w:r>
      <w:r w:rsidRPr="008B2E04">
        <w:rPr>
          <w:rFonts w:ascii="Arial" w:eastAsiaTheme="minorEastAsia" w:hAnsi="Arial" w:cs="Arial"/>
          <w:color w:val="FF0000"/>
          <w:sz w:val="22"/>
          <w:szCs w:val="22"/>
          <w:lang w:eastAsia="en-US"/>
        </w:rPr>
        <w:t xml:space="preserve"> en donde colocar nuestros comentarios dejamos aquí al final las </w:t>
      </w:r>
      <w:r w:rsidR="0094215A" w:rsidRPr="008B2E04">
        <w:rPr>
          <w:rFonts w:ascii="Arial" w:eastAsiaTheme="minorEastAsia" w:hAnsi="Arial" w:cs="Arial"/>
          <w:color w:val="FF0000"/>
          <w:sz w:val="22"/>
          <w:szCs w:val="22"/>
          <w:lang w:eastAsia="en-US"/>
        </w:rPr>
        <w:t>siguientes ideas</w:t>
      </w:r>
      <w:r w:rsidR="008B2E04" w:rsidRPr="008B2E04">
        <w:rPr>
          <w:rFonts w:ascii="Arial" w:eastAsiaTheme="minorEastAsia" w:hAnsi="Arial" w:cs="Arial"/>
          <w:color w:val="FF0000"/>
          <w:sz w:val="22"/>
          <w:szCs w:val="22"/>
          <w:lang w:eastAsia="en-US"/>
        </w:rPr>
        <w:t>:</w:t>
      </w:r>
    </w:p>
    <w:p w14:paraId="76EE37F3" w14:textId="77777777" w:rsidR="008B2E04" w:rsidRDefault="008B2E04" w:rsidP="00523EDF">
      <w:pPr>
        <w:jc w:val="both"/>
        <w:rPr>
          <w:rFonts w:ascii="Arial" w:eastAsiaTheme="minorEastAsia" w:hAnsi="Arial" w:cs="Arial"/>
          <w:color w:val="000000" w:themeColor="text1"/>
          <w:sz w:val="22"/>
          <w:szCs w:val="22"/>
          <w:lang w:eastAsia="en-US"/>
        </w:rPr>
      </w:pPr>
    </w:p>
    <w:p w14:paraId="21C488AD" w14:textId="77777777" w:rsidR="008B2E04" w:rsidRP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 xml:space="preserve">De acuerdo con comunicación oficial remitida por el Banco Agrario de Colombia, se establecen necesidades concordantes con la Auditoría ejecutada por un tercero en todo el marco de atención de las vigencias comprendidas entre el 2000 y 2017, así como de procesos internos de análisis que dan como resultado escenarios de atención, los cuales se convierten en criterios de priorización y atención por parte del BAC, estos escenarios responden a compromisos sociales, pero también a ordenanzas jurídicas, estos escenarios para 2027 se detallan a continuación: </w:t>
      </w:r>
    </w:p>
    <w:p w14:paraId="0BBC1032" w14:textId="77777777" w:rsidR="008B2E04" w:rsidRPr="008B2E04" w:rsidRDefault="008B2E04" w:rsidP="008B2E04">
      <w:pPr>
        <w:jc w:val="both"/>
        <w:rPr>
          <w:rFonts w:ascii="Arial" w:eastAsiaTheme="minorEastAsia" w:hAnsi="Arial" w:cs="Arial"/>
          <w:color w:val="000000" w:themeColor="text1"/>
          <w:sz w:val="22"/>
          <w:szCs w:val="22"/>
          <w:lang w:eastAsia="en-US"/>
        </w:rPr>
      </w:pPr>
    </w:p>
    <w:p w14:paraId="48C5FC3F" w14:textId="77777777" w:rsidR="008B2E04" w:rsidRP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 xml:space="preserve">Restitución </w:t>
      </w:r>
    </w:p>
    <w:p w14:paraId="6E6ACB8F" w14:textId="77777777" w:rsidR="008B2E04" w:rsidRP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 xml:space="preserve">Mesas de participación ciudadana </w:t>
      </w:r>
    </w:p>
    <w:p w14:paraId="12102284" w14:textId="77777777" w:rsidR="008B2E04" w:rsidRP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 xml:space="preserve">Victimas </w:t>
      </w:r>
    </w:p>
    <w:p w14:paraId="1008D548" w14:textId="77777777" w:rsidR="008B2E04" w:rsidRP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 xml:space="preserve">Tutela </w:t>
      </w:r>
    </w:p>
    <w:p w14:paraId="3DEAEEE4" w14:textId="77777777" w:rsidR="008B2E04" w:rsidRP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 xml:space="preserve">Proyectos de especial seguimiento órganos de control </w:t>
      </w:r>
    </w:p>
    <w:p w14:paraId="78DB8275" w14:textId="77777777" w:rsidR="008B2E04" w:rsidRP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 xml:space="preserve">Dialogo social </w:t>
      </w:r>
    </w:p>
    <w:p w14:paraId="1828B659" w14:textId="77777777" w:rsidR="008B2E04" w:rsidRPr="008B2E04" w:rsidRDefault="008B2E04" w:rsidP="008B2E04">
      <w:pPr>
        <w:jc w:val="both"/>
        <w:rPr>
          <w:rFonts w:ascii="Arial" w:eastAsiaTheme="minorEastAsia" w:hAnsi="Arial" w:cs="Arial"/>
          <w:color w:val="000000" w:themeColor="text1"/>
          <w:sz w:val="22"/>
          <w:szCs w:val="22"/>
          <w:lang w:eastAsia="en-US"/>
        </w:rPr>
      </w:pPr>
      <w:proofErr w:type="spellStart"/>
      <w:r w:rsidRPr="008B2E04">
        <w:rPr>
          <w:rFonts w:ascii="Arial" w:eastAsiaTheme="minorEastAsia" w:hAnsi="Arial" w:cs="Arial"/>
          <w:color w:val="000000" w:themeColor="text1"/>
          <w:sz w:val="22"/>
          <w:szCs w:val="22"/>
          <w:lang w:eastAsia="en-US"/>
        </w:rPr>
        <w:t>Ungrd</w:t>
      </w:r>
      <w:proofErr w:type="spellEnd"/>
      <w:r w:rsidRPr="008B2E04">
        <w:rPr>
          <w:rFonts w:ascii="Arial" w:eastAsiaTheme="minorEastAsia" w:hAnsi="Arial" w:cs="Arial"/>
          <w:color w:val="000000" w:themeColor="text1"/>
          <w:sz w:val="22"/>
          <w:szCs w:val="22"/>
          <w:lang w:eastAsia="en-US"/>
        </w:rPr>
        <w:t xml:space="preserve">. Proyecto Mocoa nucleado y comunidad </w:t>
      </w:r>
      <w:proofErr w:type="spellStart"/>
      <w:r w:rsidRPr="008B2E04">
        <w:rPr>
          <w:rFonts w:ascii="Arial" w:eastAsiaTheme="minorEastAsia" w:hAnsi="Arial" w:cs="Arial"/>
          <w:color w:val="000000" w:themeColor="text1"/>
          <w:sz w:val="22"/>
          <w:szCs w:val="22"/>
          <w:lang w:eastAsia="en-US"/>
        </w:rPr>
        <w:t>Musurrunakuna</w:t>
      </w:r>
      <w:proofErr w:type="spellEnd"/>
    </w:p>
    <w:p w14:paraId="6CE820E9" w14:textId="77777777" w:rsidR="008B2E04" w:rsidRPr="008B2E04" w:rsidRDefault="008B2E04" w:rsidP="008B2E04">
      <w:pPr>
        <w:jc w:val="both"/>
        <w:rPr>
          <w:rFonts w:ascii="Arial" w:eastAsiaTheme="minorEastAsia" w:hAnsi="Arial" w:cs="Arial"/>
          <w:color w:val="000000" w:themeColor="text1"/>
          <w:sz w:val="22"/>
          <w:szCs w:val="22"/>
          <w:lang w:eastAsia="en-US"/>
        </w:rPr>
      </w:pPr>
    </w:p>
    <w:p w14:paraId="20438DC5" w14:textId="77777777" w:rsidR="008B2E04" w:rsidRP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 xml:space="preserve">Las cifras y metas operativas son definidas anualmente por el Banco Agrario de Colombia (BAC) y el Ministerio de Agricultura y Desarrollo Rural (MADR), así mismo se define un plan de trabajo y el esquema de priorización derivados de los resultados de auditoría. Estos lineamientos incorporan componentes estratégicos como diálogo social, cumplimiento de sentencias judiciales y gestión de riesgos. Su validación y control se realizan acorde con las recomendaciones que realiza la Comisión Intersectorial de Vivienda de Interés Social Rural en cumplimiento con lo establecido en el Decreto 1071 de 2015 </w:t>
      </w:r>
    </w:p>
    <w:p w14:paraId="5AA2939C" w14:textId="77777777" w:rsidR="008B2E04" w:rsidRPr="008B2E04" w:rsidRDefault="008B2E04" w:rsidP="008B2E04">
      <w:pPr>
        <w:jc w:val="both"/>
        <w:rPr>
          <w:rFonts w:ascii="Arial" w:eastAsiaTheme="minorEastAsia" w:hAnsi="Arial" w:cs="Arial"/>
          <w:color w:val="000000" w:themeColor="text1"/>
          <w:sz w:val="22"/>
          <w:szCs w:val="22"/>
          <w:lang w:eastAsia="en-US"/>
        </w:rPr>
      </w:pPr>
    </w:p>
    <w:p w14:paraId="2A05A7BB" w14:textId="71B43EEB" w:rsidR="008B2E04" w:rsidRP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De manera complementaria, y un poco más enfocada en el detalle el MADR adelanta seguimiento mensual al cumplimiento del plan formulado por el BAC, contrastando los resultados e insumos derivados de la auditoría, los informes de los ent</w:t>
      </w:r>
      <w:r w:rsidR="00407BB2">
        <w:rPr>
          <w:rFonts w:ascii="Arial" w:eastAsiaTheme="minorEastAsia" w:hAnsi="Arial" w:cs="Arial"/>
          <w:color w:val="000000" w:themeColor="text1"/>
          <w:sz w:val="22"/>
          <w:szCs w:val="22"/>
          <w:lang w:eastAsia="en-US"/>
        </w:rPr>
        <w:t xml:space="preserve">es </w:t>
      </w:r>
      <w:r w:rsidRPr="008B2E04">
        <w:rPr>
          <w:rFonts w:ascii="Arial" w:eastAsiaTheme="minorEastAsia" w:hAnsi="Arial" w:cs="Arial"/>
          <w:color w:val="000000" w:themeColor="text1"/>
          <w:sz w:val="22"/>
          <w:szCs w:val="22"/>
          <w:lang w:eastAsia="en-US"/>
        </w:rPr>
        <w:t xml:space="preserve">de control y las diversas sesiones de seguimiento. Este seguimiento implica la verificación sistemática de metas frente a avances reales. </w:t>
      </w:r>
    </w:p>
    <w:p w14:paraId="36008587" w14:textId="77777777" w:rsidR="008B2E04" w:rsidRPr="008B2E04" w:rsidRDefault="008B2E04" w:rsidP="008B2E04">
      <w:pPr>
        <w:jc w:val="both"/>
        <w:rPr>
          <w:rFonts w:ascii="Arial" w:eastAsiaTheme="minorEastAsia" w:hAnsi="Arial" w:cs="Arial"/>
          <w:color w:val="000000" w:themeColor="text1"/>
          <w:sz w:val="22"/>
          <w:szCs w:val="22"/>
          <w:lang w:eastAsia="en-US"/>
        </w:rPr>
      </w:pPr>
    </w:p>
    <w:p w14:paraId="4D0F68A7" w14:textId="77777777" w:rsidR="008B2E04" w:rsidRPr="008B2E04" w:rsidRDefault="008B2E04" w:rsidP="008B2E04">
      <w:pPr>
        <w:jc w:val="both"/>
        <w:rPr>
          <w:rFonts w:ascii="Arial" w:eastAsiaTheme="minorEastAsia" w:hAnsi="Arial" w:cs="Arial"/>
          <w:color w:val="000000" w:themeColor="text1"/>
          <w:sz w:val="22"/>
          <w:szCs w:val="22"/>
          <w:lang w:eastAsia="en-US"/>
        </w:rPr>
      </w:pPr>
    </w:p>
    <w:p w14:paraId="632EBBFD" w14:textId="77777777" w:rsidR="008B2E04" w:rsidRP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 xml:space="preserve">En relación con las sustituciones, estas deben gestionarse bajo criterios de oportunidad y eficiencia, garantizando su cierre en plazos definidos. En este sentido, la Dirección debe establecer lineamientos claros y unificados sobre el tratamiento de estos casos, con un horizonte máximo que no supere el cierre de la vigencia 2027. Para ello, es indispensable estructurar y formalizar protocolos robustos que permitan la adecuada gestión de beneficiarios que, por diversas razones, no se les pueda materializar el subsidio asignado. </w:t>
      </w:r>
    </w:p>
    <w:p w14:paraId="12EEB347" w14:textId="77777777" w:rsidR="008B2E04" w:rsidRPr="008B2E04" w:rsidRDefault="008B2E04" w:rsidP="008B2E04">
      <w:pPr>
        <w:jc w:val="both"/>
        <w:rPr>
          <w:rFonts w:ascii="Arial" w:eastAsiaTheme="minorEastAsia" w:hAnsi="Arial" w:cs="Arial"/>
          <w:color w:val="000000" w:themeColor="text1"/>
          <w:sz w:val="22"/>
          <w:szCs w:val="22"/>
          <w:lang w:eastAsia="en-US"/>
        </w:rPr>
      </w:pPr>
    </w:p>
    <w:p w14:paraId="6A606084" w14:textId="77777777" w:rsidR="008B2E04" w:rsidRP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 xml:space="preserve">En este contexto, se reconoce que el protocolo vigente para la modalidad de autogestión se encuentra formalmente constituido; no obstante, es susceptible de actualización permanente, dada su dependencia de variables dinámicas propias del entorno institucional y normativo. </w:t>
      </w:r>
    </w:p>
    <w:p w14:paraId="0E638ADD" w14:textId="77777777" w:rsidR="008B2E04" w:rsidRPr="008B2E04" w:rsidRDefault="008B2E04" w:rsidP="008B2E04">
      <w:pPr>
        <w:jc w:val="both"/>
        <w:rPr>
          <w:rFonts w:ascii="Arial" w:eastAsiaTheme="minorEastAsia" w:hAnsi="Arial" w:cs="Arial"/>
          <w:color w:val="000000" w:themeColor="text1"/>
          <w:sz w:val="22"/>
          <w:szCs w:val="22"/>
          <w:lang w:eastAsia="en-US"/>
        </w:rPr>
      </w:pPr>
    </w:p>
    <w:p w14:paraId="1BD2EAC6" w14:textId="77777777" w:rsidR="008B2E04" w:rsidRPr="008B2E04" w:rsidRDefault="008B2E04" w:rsidP="008B2E04">
      <w:pPr>
        <w:jc w:val="both"/>
        <w:rPr>
          <w:rFonts w:ascii="Arial" w:eastAsiaTheme="minorEastAsia" w:hAnsi="Arial" w:cs="Arial"/>
          <w:color w:val="000000" w:themeColor="text1"/>
          <w:sz w:val="22"/>
          <w:szCs w:val="22"/>
          <w:lang w:eastAsia="en-US"/>
        </w:rPr>
      </w:pPr>
    </w:p>
    <w:p w14:paraId="1BEE605D" w14:textId="05856109" w:rsid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De igual forma, el BAC dispone de protocolos orientados a regular los procesos constructivos, en función de las condiciones particulares de asignación de los subsidios a los beneficiarios a lo largo de las distintas vigencias. Sin embargo, estos instrumentos, al igual que el esquema de autogestión del MADR, requieren revisión y ajuste para alinearse con las condiciones actuales del país. A manera de ejemplo, el proceso contempla actualmente tres instancias de sustitución, lo cual resulta ineficiente frente al objetivo de cierre del programa; por tanto, se hace necesario simplificar y optimizar este esquema para garantizar una planeación efectiva de los recursos.</w:t>
      </w:r>
    </w:p>
    <w:p w14:paraId="000AA8C9" w14:textId="77777777" w:rsidR="008B2E04" w:rsidRDefault="008B2E04" w:rsidP="008B2E04">
      <w:pPr>
        <w:jc w:val="both"/>
        <w:rPr>
          <w:rFonts w:ascii="Arial" w:eastAsiaTheme="minorEastAsia" w:hAnsi="Arial" w:cs="Arial"/>
          <w:color w:val="000000" w:themeColor="text1"/>
          <w:sz w:val="22"/>
          <w:szCs w:val="22"/>
          <w:lang w:eastAsia="en-US"/>
        </w:rPr>
      </w:pPr>
    </w:p>
    <w:p w14:paraId="650D7E29" w14:textId="65ADB114" w:rsidR="008B2E04" w:rsidRDefault="008B2E04" w:rsidP="008B2E04">
      <w:pPr>
        <w:jc w:val="both"/>
        <w:rPr>
          <w:rFonts w:ascii="Arial" w:eastAsiaTheme="minorEastAsia" w:hAnsi="Arial" w:cs="Arial"/>
          <w:color w:val="000000" w:themeColor="text1"/>
          <w:sz w:val="22"/>
          <w:szCs w:val="22"/>
          <w:lang w:eastAsia="en-US"/>
        </w:rPr>
      </w:pPr>
      <w:r w:rsidRPr="008B2E04">
        <w:rPr>
          <w:rFonts w:ascii="Arial" w:eastAsiaTheme="minorEastAsia" w:hAnsi="Arial" w:cs="Arial"/>
          <w:color w:val="000000" w:themeColor="text1"/>
          <w:sz w:val="22"/>
          <w:szCs w:val="22"/>
          <w:lang w:eastAsia="en-US"/>
        </w:rPr>
        <w:t>Finalmente, en el marco de las sustituciones y exclusiones correspondientes a las vigencias 2000–2010, se tiene una serie de subsidios familiares de vivienda de interés social rural (SFVISR) que requieren revisión integral del BAC para ser excluidos o sustituidos con la finalidad de tener un universo exacto de los SFVISR a realizar; Los hallazgos de auditoría evidencian deficiencias significativas en la trazabilidad y seguimiento de estos beneficiarios, con vacíos críticos de información. En consecuencia, aun en</w:t>
      </w:r>
      <w:r w:rsidRPr="008B2E04">
        <w:t xml:space="preserve"> </w:t>
      </w:r>
      <w:r w:rsidRPr="008B2E04">
        <w:rPr>
          <w:rFonts w:ascii="Arial" w:eastAsiaTheme="minorEastAsia" w:hAnsi="Arial" w:cs="Arial"/>
          <w:color w:val="000000" w:themeColor="text1"/>
          <w:sz w:val="22"/>
          <w:szCs w:val="22"/>
          <w:lang w:eastAsia="en-US"/>
        </w:rPr>
        <w:t xml:space="preserve">presencia de recursos y capacidades logísticas, la materialización de estos subsidios resulta altamente improbable, dada la imposibilidad de identificar con precisión elementos clave como el beneficiario, el predio o las condiciones habilitantes. </w:t>
      </w:r>
    </w:p>
    <w:p w14:paraId="7F3ADC19" w14:textId="77777777" w:rsidR="00BC38E1" w:rsidRDefault="00BC38E1" w:rsidP="008B2E04">
      <w:pPr>
        <w:jc w:val="both"/>
        <w:rPr>
          <w:rFonts w:ascii="Arial" w:eastAsiaTheme="minorEastAsia" w:hAnsi="Arial" w:cs="Arial"/>
          <w:color w:val="000000" w:themeColor="text1"/>
          <w:sz w:val="22"/>
          <w:szCs w:val="22"/>
          <w:lang w:eastAsia="en-US"/>
        </w:rPr>
      </w:pPr>
    </w:p>
    <w:p w14:paraId="0902E15C" w14:textId="57D3A1C4" w:rsidR="008B2E04" w:rsidRDefault="008B2E04" w:rsidP="008B2E04">
      <w:pPr>
        <w:jc w:val="both"/>
        <w:rPr>
          <w:rFonts w:ascii="Arial" w:eastAsiaTheme="minorEastAsia" w:hAnsi="Arial" w:cs="Arial"/>
          <w:color w:val="000000" w:themeColor="text1"/>
          <w:sz w:val="22"/>
          <w:szCs w:val="22"/>
          <w:lang w:eastAsia="en-US"/>
        </w:rPr>
      </w:pPr>
      <w:r>
        <w:rPr>
          <w:rFonts w:ascii="Arial" w:eastAsiaTheme="minorEastAsia" w:hAnsi="Arial" w:cs="Arial"/>
          <w:color w:val="000000" w:themeColor="text1"/>
          <w:sz w:val="22"/>
          <w:szCs w:val="22"/>
          <w:lang w:eastAsia="en-US"/>
        </w:rPr>
        <w:t xml:space="preserve">de caja con el </w:t>
      </w:r>
      <w:proofErr w:type="gramStart"/>
      <w:r>
        <w:rPr>
          <w:rFonts w:ascii="Arial" w:eastAsiaTheme="minorEastAsia" w:hAnsi="Arial" w:cs="Arial"/>
          <w:color w:val="000000" w:themeColor="text1"/>
          <w:sz w:val="22"/>
          <w:szCs w:val="22"/>
          <w:lang w:eastAsia="en-US"/>
        </w:rPr>
        <w:t>BAC  para</w:t>
      </w:r>
      <w:proofErr w:type="gramEnd"/>
      <w:r>
        <w:rPr>
          <w:rFonts w:ascii="Arial" w:eastAsiaTheme="minorEastAsia" w:hAnsi="Arial" w:cs="Arial"/>
          <w:color w:val="000000" w:themeColor="text1"/>
          <w:sz w:val="22"/>
          <w:szCs w:val="22"/>
          <w:lang w:eastAsia="en-US"/>
        </w:rPr>
        <w:t xml:space="preserve"> el cierre del programa  </w:t>
      </w:r>
    </w:p>
    <w:p w14:paraId="32DEFBE2" w14:textId="77777777" w:rsidR="00407BB2" w:rsidRDefault="00407BB2" w:rsidP="008B2E04">
      <w:pPr>
        <w:jc w:val="both"/>
        <w:rPr>
          <w:rFonts w:ascii="Arial" w:eastAsiaTheme="minorEastAsia" w:hAnsi="Arial" w:cs="Arial"/>
          <w:color w:val="000000" w:themeColor="text1"/>
          <w:sz w:val="22"/>
          <w:szCs w:val="22"/>
          <w:lang w:eastAsia="en-US"/>
        </w:rPr>
      </w:pPr>
    </w:p>
    <w:p w14:paraId="3B996C8E" w14:textId="427A8CE3" w:rsidR="00407BB2" w:rsidRPr="006B79ED" w:rsidRDefault="00407BB2" w:rsidP="008B2E04">
      <w:pPr>
        <w:jc w:val="both"/>
        <w:rPr>
          <w:rFonts w:ascii="Arial" w:eastAsiaTheme="minorEastAsia" w:hAnsi="Arial" w:cs="Arial"/>
          <w:color w:val="FF0000"/>
          <w:sz w:val="22"/>
          <w:szCs w:val="22"/>
          <w:lang w:eastAsia="en-US"/>
        </w:rPr>
      </w:pPr>
      <w:r w:rsidRPr="006B79ED">
        <w:rPr>
          <w:rFonts w:ascii="Arial" w:eastAsiaTheme="minorEastAsia" w:hAnsi="Arial" w:cs="Arial"/>
          <w:color w:val="FF0000"/>
          <w:sz w:val="22"/>
          <w:szCs w:val="22"/>
          <w:lang w:eastAsia="en-US"/>
        </w:rPr>
        <w:t xml:space="preserve">Sobre el </w:t>
      </w:r>
      <w:r w:rsidR="0017230C">
        <w:rPr>
          <w:rFonts w:ascii="Arial" w:eastAsiaTheme="minorEastAsia" w:hAnsi="Arial" w:cs="Arial"/>
          <w:color w:val="FF0000"/>
          <w:sz w:val="22"/>
          <w:szCs w:val="22"/>
          <w:lang w:eastAsia="en-US"/>
        </w:rPr>
        <w:t xml:space="preserve">documento PROCEDIMIENTO MADR </w:t>
      </w:r>
      <w:r w:rsidRPr="006B79ED">
        <w:rPr>
          <w:rFonts w:ascii="Arial" w:eastAsiaTheme="minorEastAsia" w:hAnsi="Arial" w:cs="Arial"/>
          <w:color w:val="FF0000"/>
          <w:sz w:val="22"/>
          <w:szCs w:val="22"/>
          <w:lang w:eastAsia="en-US"/>
        </w:rPr>
        <w:t>cierre de</w:t>
      </w:r>
      <w:r w:rsidR="006947C8" w:rsidRPr="006B79ED">
        <w:rPr>
          <w:rFonts w:ascii="Arial" w:eastAsiaTheme="minorEastAsia" w:hAnsi="Arial" w:cs="Arial"/>
          <w:color w:val="FF0000"/>
          <w:sz w:val="22"/>
          <w:szCs w:val="22"/>
          <w:lang w:eastAsia="en-US"/>
        </w:rPr>
        <w:t xml:space="preserve">l programa de </w:t>
      </w:r>
      <w:proofErr w:type="gramStart"/>
      <w:r w:rsidR="006947C8" w:rsidRPr="006B79ED">
        <w:rPr>
          <w:rFonts w:ascii="Arial" w:eastAsiaTheme="minorEastAsia" w:hAnsi="Arial" w:cs="Arial"/>
          <w:color w:val="FF0000"/>
          <w:sz w:val="22"/>
          <w:szCs w:val="22"/>
          <w:lang w:eastAsia="en-US"/>
        </w:rPr>
        <w:t>vivienda :</w:t>
      </w:r>
      <w:proofErr w:type="gramEnd"/>
      <w:r w:rsidR="006947C8" w:rsidRPr="006B79ED">
        <w:rPr>
          <w:rFonts w:ascii="Arial" w:eastAsiaTheme="minorEastAsia" w:hAnsi="Arial" w:cs="Arial"/>
          <w:color w:val="FF0000"/>
          <w:sz w:val="22"/>
          <w:szCs w:val="22"/>
          <w:lang w:eastAsia="en-US"/>
        </w:rPr>
        <w:t xml:space="preserve"> Sebastián  y Jaime </w:t>
      </w:r>
    </w:p>
    <w:p w14:paraId="0CC5B82A" w14:textId="0D7C3D95" w:rsidR="004017F8" w:rsidRDefault="004017F8" w:rsidP="008B2E04">
      <w:pPr>
        <w:jc w:val="both"/>
        <w:rPr>
          <w:rFonts w:ascii="Arial" w:eastAsiaTheme="minorEastAsia" w:hAnsi="Arial" w:cs="Arial"/>
          <w:color w:val="000000" w:themeColor="text1"/>
          <w:sz w:val="22"/>
          <w:szCs w:val="22"/>
          <w:lang w:eastAsia="en-US"/>
        </w:rPr>
      </w:pPr>
    </w:p>
    <w:p w14:paraId="642DB575" w14:textId="2648BD9D" w:rsidR="006947C8" w:rsidRDefault="006947C8" w:rsidP="008B2E04">
      <w:pPr>
        <w:jc w:val="both"/>
        <w:rPr>
          <w:rFonts w:ascii="Arial" w:eastAsiaTheme="minorEastAsia" w:hAnsi="Arial" w:cs="Arial"/>
          <w:color w:val="000000" w:themeColor="text1"/>
          <w:sz w:val="22"/>
          <w:szCs w:val="22"/>
          <w:lang w:eastAsia="en-US"/>
        </w:rPr>
      </w:pPr>
      <w:r w:rsidRPr="006947C8">
        <w:rPr>
          <w:rFonts w:ascii="Arial" w:eastAsiaTheme="minorEastAsia" w:hAnsi="Arial" w:cs="Arial"/>
          <w:color w:val="000000" w:themeColor="text1"/>
          <w:sz w:val="22"/>
          <w:szCs w:val="22"/>
          <w:lang w:eastAsia="en-US"/>
        </w:rPr>
        <w:t xml:space="preserve">Establecer el procedimiento para el cierre del Programa de Vivienda de Interés Social Rural desde la Dirección de Gestión de Bienes Públicos Rurales (DGBPR), incorporando los aspectos técnicos, administrativos, financieros y documentales de los subsidios de las vigencias (2000 a 2010) y (2011 a 2017) del Banco Agrario De </w:t>
      </w:r>
      <w:proofErr w:type="gramStart"/>
      <w:r w:rsidRPr="006947C8">
        <w:rPr>
          <w:rFonts w:ascii="Arial" w:eastAsiaTheme="minorEastAsia" w:hAnsi="Arial" w:cs="Arial"/>
          <w:color w:val="000000" w:themeColor="text1"/>
          <w:sz w:val="22"/>
          <w:szCs w:val="22"/>
          <w:lang w:eastAsia="en-US"/>
        </w:rPr>
        <w:t>Colombia  y</w:t>
      </w:r>
      <w:proofErr w:type="gramEnd"/>
      <w:r w:rsidRPr="006947C8">
        <w:rPr>
          <w:rFonts w:ascii="Arial" w:eastAsiaTheme="minorEastAsia" w:hAnsi="Arial" w:cs="Arial"/>
          <w:color w:val="000000" w:themeColor="text1"/>
          <w:sz w:val="22"/>
          <w:szCs w:val="22"/>
          <w:lang w:eastAsia="en-US"/>
        </w:rPr>
        <w:t xml:space="preserve"> de las vigencias (2018-2019) del Ministerio de Agricultura y Desarrollo Rural , con el fin de garantizar la consolidación, validación y trazabilidad de la información; la depuración y conciliación de saldos; el cierre técnico, administrativo y financiero de los subsidios; así como el cumplimiento de la normativa vigente y la adecuada gestión documental del programa.</w:t>
      </w:r>
    </w:p>
    <w:p w14:paraId="233688F4" w14:textId="77777777" w:rsidR="006947C8" w:rsidRDefault="006947C8" w:rsidP="008B2E04">
      <w:pPr>
        <w:jc w:val="both"/>
        <w:rPr>
          <w:rFonts w:ascii="Arial" w:eastAsiaTheme="minorEastAsia" w:hAnsi="Arial" w:cs="Arial"/>
          <w:color w:val="000000" w:themeColor="text1"/>
          <w:sz w:val="22"/>
          <w:szCs w:val="22"/>
          <w:lang w:eastAsia="en-US"/>
        </w:rPr>
      </w:pPr>
    </w:p>
    <w:p w14:paraId="30893B8F" w14:textId="23E33168" w:rsidR="006947C8" w:rsidRDefault="006947C8" w:rsidP="008B2E04">
      <w:pPr>
        <w:jc w:val="both"/>
        <w:rPr>
          <w:rFonts w:ascii="Arial" w:eastAsiaTheme="minorEastAsia" w:hAnsi="Arial" w:cs="Arial"/>
          <w:color w:val="000000" w:themeColor="text1"/>
          <w:sz w:val="22"/>
          <w:szCs w:val="22"/>
          <w:lang w:eastAsia="en-US"/>
        </w:rPr>
      </w:pPr>
      <w:r>
        <w:rPr>
          <w:rFonts w:ascii="Arial" w:eastAsiaTheme="minorEastAsia" w:hAnsi="Arial" w:cs="Arial"/>
          <w:color w:val="000000" w:themeColor="text1"/>
          <w:sz w:val="22"/>
          <w:szCs w:val="22"/>
          <w:lang w:eastAsia="en-US"/>
        </w:rPr>
        <w:t>Los alcances de este cierre del programa son los siguientes:</w:t>
      </w:r>
    </w:p>
    <w:p w14:paraId="1FECA633" w14:textId="0DD27969" w:rsidR="006947C8" w:rsidRDefault="006B79ED" w:rsidP="006B79ED">
      <w:pPr>
        <w:tabs>
          <w:tab w:val="left" w:pos="6270"/>
        </w:tabs>
        <w:jc w:val="both"/>
        <w:rPr>
          <w:rFonts w:ascii="Arial" w:eastAsiaTheme="minorEastAsia" w:hAnsi="Arial" w:cs="Arial"/>
          <w:color w:val="000000" w:themeColor="text1"/>
          <w:sz w:val="22"/>
          <w:szCs w:val="22"/>
          <w:lang w:eastAsia="en-US"/>
        </w:rPr>
      </w:pPr>
      <w:r>
        <w:rPr>
          <w:rFonts w:ascii="Arial" w:eastAsiaTheme="minorEastAsia" w:hAnsi="Arial" w:cs="Arial"/>
          <w:color w:val="000000" w:themeColor="text1"/>
          <w:sz w:val="22"/>
          <w:szCs w:val="22"/>
          <w:lang w:eastAsia="en-US"/>
        </w:rPr>
        <w:lastRenderedPageBreak/>
        <w:tab/>
      </w:r>
    </w:p>
    <w:p w14:paraId="729F470E" w14:textId="77777777" w:rsidR="006947C8" w:rsidRPr="006947C8" w:rsidRDefault="006947C8" w:rsidP="006947C8">
      <w:pPr>
        <w:jc w:val="both"/>
        <w:rPr>
          <w:rFonts w:ascii="Arial" w:eastAsiaTheme="minorEastAsia" w:hAnsi="Arial" w:cs="Arial"/>
          <w:color w:val="000000" w:themeColor="text1"/>
          <w:sz w:val="22"/>
          <w:szCs w:val="22"/>
          <w:lang w:eastAsia="en-US"/>
        </w:rPr>
      </w:pPr>
      <w:r w:rsidRPr="006947C8">
        <w:rPr>
          <w:rFonts w:ascii="Arial" w:eastAsiaTheme="minorEastAsia" w:hAnsi="Arial" w:cs="Arial"/>
          <w:color w:val="000000" w:themeColor="text1"/>
          <w:sz w:val="22"/>
          <w:szCs w:val="22"/>
          <w:lang w:eastAsia="en-US"/>
        </w:rPr>
        <w:t xml:space="preserve">Generar un procedimiento para el cierre del Programa de Vivienda de Interés Social Rural, comprendiendo los subsidios familiares de vivienda otorgados por el Banco Agrario de Colombia (BAC) durante las vigencias 2000 a 2010 y 2011 a 2017, así como aquellos asignados por el Ministerio de Agricultura y Desarrollo Rural (MADR) correspondientes a las vigencias 2018 y 2019.  </w:t>
      </w:r>
    </w:p>
    <w:p w14:paraId="522EFF61" w14:textId="34CD8F10" w:rsidR="006947C8" w:rsidRPr="006947C8" w:rsidRDefault="006947C8" w:rsidP="006947C8">
      <w:pPr>
        <w:jc w:val="both"/>
        <w:rPr>
          <w:rFonts w:ascii="Arial" w:eastAsiaTheme="minorEastAsia" w:hAnsi="Arial" w:cs="Arial"/>
          <w:color w:val="000000" w:themeColor="text1"/>
          <w:sz w:val="22"/>
          <w:szCs w:val="22"/>
          <w:lang w:eastAsia="en-US"/>
        </w:rPr>
      </w:pPr>
    </w:p>
    <w:p w14:paraId="70081E80" w14:textId="77777777" w:rsidR="006947C8" w:rsidRPr="006947C8" w:rsidRDefault="006947C8" w:rsidP="006947C8">
      <w:pPr>
        <w:jc w:val="both"/>
        <w:rPr>
          <w:rFonts w:ascii="Arial" w:eastAsiaTheme="minorEastAsia" w:hAnsi="Arial" w:cs="Arial"/>
          <w:color w:val="000000" w:themeColor="text1"/>
          <w:sz w:val="22"/>
          <w:szCs w:val="22"/>
          <w:lang w:eastAsia="en-US"/>
        </w:rPr>
      </w:pPr>
      <w:r w:rsidRPr="006947C8">
        <w:rPr>
          <w:rFonts w:ascii="Arial" w:eastAsiaTheme="minorEastAsia" w:hAnsi="Arial" w:cs="Arial"/>
          <w:color w:val="000000" w:themeColor="text1"/>
          <w:sz w:val="22"/>
          <w:szCs w:val="22"/>
          <w:lang w:eastAsia="en-US"/>
        </w:rPr>
        <w:t xml:space="preserve">Lo anterior comprende desde la identificación, verificación, depuración y consolidación de la información técnica, jurídica, financiera y social asociada a los subsidios, independientemente de su estado de ejecución, modalidad de operación (autogestión o nuevos operadores) o situación contractual. Así mismo, contempla las actividades necesarias para la validación del cumplimiento de los requisitos, el análisis de inconsistencias, la adopción de acciones de cierre y la generación de los soportes documentales requeridos, con el fin de garantizar la finalización ordenada, transparente y trazable del programa. </w:t>
      </w:r>
    </w:p>
    <w:p w14:paraId="028714C8" w14:textId="77777777" w:rsidR="006947C8" w:rsidRPr="006947C8" w:rsidRDefault="006947C8" w:rsidP="006947C8">
      <w:pPr>
        <w:jc w:val="both"/>
        <w:rPr>
          <w:rFonts w:ascii="Arial" w:eastAsiaTheme="minorEastAsia" w:hAnsi="Arial" w:cs="Arial"/>
          <w:color w:val="000000" w:themeColor="text1"/>
          <w:sz w:val="22"/>
          <w:szCs w:val="22"/>
          <w:lang w:eastAsia="en-US"/>
        </w:rPr>
      </w:pPr>
    </w:p>
    <w:p w14:paraId="70BF1C18" w14:textId="4CF61C19" w:rsidR="006947C8" w:rsidRPr="006947C8" w:rsidRDefault="006947C8" w:rsidP="006947C8">
      <w:pPr>
        <w:jc w:val="both"/>
        <w:rPr>
          <w:rFonts w:ascii="Arial" w:eastAsiaTheme="minorEastAsia" w:hAnsi="Arial" w:cs="Arial"/>
          <w:color w:val="000000" w:themeColor="text1"/>
          <w:sz w:val="22"/>
          <w:szCs w:val="22"/>
          <w:lang w:eastAsia="en-US"/>
        </w:rPr>
      </w:pPr>
      <w:r w:rsidRPr="006947C8">
        <w:rPr>
          <w:rFonts w:ascii="Arial" w:eastAsiaTheme="minorEastAsia" w:hAnsi="Arial" w:cs="Arial"/>
          <w:color w:val="000000" w:themeColor="text1"/>
          <w:sz w:val="22"/>
          <w:szCs w:val="22"/>
          <w:lang w:eastAsia="en-US"/>
        </w:rPr>
        <w:t xml:space="preserve"> </w:t>
      </w:r>
    </w:p>
    <w:p w14:paraId="1C8ECFFB" w14:textId="6EA5AA52" w:rsidR="006947C8" w:rsidRDefault="006947C8" w:rsidP="006947C8">
      <w:pPr>
        <w:jc w:val="both"/>
        <w:rPr>
          <w:rFonts w:ascii="Arial" w:eastAsiaTheme="minorEastAsia" w:hAnsi="Arial" w:cs="Arial"/>
          <w:color w:val="000000" w:themeColor="text1"/>
          <w:sz w:val="22"/>
          <w:szCs w:val="22"/>
          <w:lang w:eastAsia="en-US"/>
        </w:rPr>
      </w:pPr>
      <w:r w:rsidRPr="006947C8">
        <w:rPr>
          <w:rFonts w:ascii="Arial" w:eastAsiaTheme="minorEastAsia" w:hAnsi="Arial" w:cs="Arial"/>
          <w:color w:val="000000" w:themeColor="text1"/>
          <w:sz w:val="22"/>
          <w:szCs w:val="22"/>
          <w:lang w:eastAsia="en-US"/>
        </w:rPr>
        <w:t>Así mismo, involucra la articulación con las diferentes dependencias internas, entidades otorgantes, administradoras de recursos, operadores y demás actores vinculados al programa por aplicación de la ley o por convenio, con el fin de asegurar la consistencia de la información, el cumplimiento de la normatividad vigente y la adecuada finalización de las obligaciones derivadas de los subsidios.</w:t>
      </w:r>
    </w:p>
    <w:p w14:paraId="02DD9A96" w14:textId="77777777" w:rsidR="006947C8" w:rsidRDefault="006947C8" w:rsidP="008B2E04">
      <w:pPr>
        <w:jc w:val="both"/>
        <w:rPr>
          <w:rFonts w:ascii="Arial" w:eastAsiaTheme="minorEastAsia" w:hAnsi="Arial" w:cs="Arial"/>
          <w:color w:val="000000" w:themeColor="text1"/>
          <w:sz w:val="22"/>
          <w:szCs w:val="22"/>
          <w:lang w:eastAsia="en-US"/>
        </w:rPr>
      </w:pPr>
    </w:p>
    <w:p w14:paraId="6F9DA511" w14:textId="77777777" w:rsidR="006B79ED" w:rsidRDefault="006B79ED" w:rsidP="008B2E04">
      <w:pPr>
        <w:jc w:val="both"/>
        <w:rPr>
          <w:rFonts w:ascii="Arial" w:eastAsiaTheme="minorEastAsia" w:hAnsi="Arial" w:cs="Arial"/>
          <w:color w:val="000000" w:themeColor="text1"/>
          <w:sz w:val="22"/>
          <w:szCs w:val="22"/>
          <w:lang w:eastAsia="en-US"/>
        </w:rPr>
      </w:pPr>
    </w:p>
    <w:p w14:paraId="6F040E07" w14:textId="77777777" w:rsidR="006947C8" w:rsidRPr="00523EDF" w:rsidRDefault="006947C8" w:rsidP="008B2E04">
      <w:pPr>
        <w:jc w:val="both"/>
        <w:rPr>
          <w:rFonts w:ascii="Arial" w:eastAsiaTheme="minorEastAsia" w:hAnsi="Arial" w:cs="Arial"/>
          <w:color w:val="000000" w:themeColor="text1"/>
          <w:sz w:val="22"/>
          <w:szCs w:val="22"/>
          <w:lang w:eastAsia="en-US"/>
        </w:rPr>
      </w:pPr>
    </w:p>
    <w:sectPr w:rsidR="006947C8" w:rsidRPr="00523EDF" w:rsidSect="00BD4E31">
      <w:headerReference w:type="default" r:id="rId29"/>
      <w:footerReference w:type="default" r:id="rId30"/>
      <w:pgSz w:w="12240" w:h="15840" w:code="1"/>
      <w:pgMar w:top="1417" w:right="1701" w:bottom="1417" w:left="1701" w:header="708" w:footer="708" w:gutter="0"/>
      <w:pgNumType w:start="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CATALINA BARRIOS CARDENAS" w:date="2026-04-27T10:46:00Z" w:initials="CB">
    <w:p w14:paraId="6F173D59" w14:textId="77777777" w:rsidR="0017217B" w:rsidRDefault="0017217B" w:rsidP="0017217B">
      <w:pPr>
        <w:pStyle w:val="Textocomentario"/>
      </w:pPr>
      <w:r>
        <w:rPr>
          <w:rStyle w:val="Refdecomentario"/>
        </w:rPr>
        <w:annotationRef/>
      </w:r>
      <w:r>
        <w:t>Actualizar gráfica con las modalidades 2026</w:t>
      </w:r>
    </w:p>
  </w:comment>
  <w:comment w:id="7" w:author="CATALINA BARRIOS CARDENAS" w:date="2026-04-27T10:45:00Z" w:initials="CB">
    <w:p w14:paraId="62EF779B" w14:textId="77777777" w:rsidR="0017217B" w:rsidRDefault="0017217B" w:rsidP="0017217B">
      <w:pPr>
        <w:pStyle w:val="Textocomentario"/>
      </w:pPr>
      <w:r>
        <w:rPr>
          <w:rStyle w:val="Refdecomentario"/>
        </w:rPr>
        <w:annotationRef/>
      </w:r>
      <w:r>
        <w:t>Ajustar 2026</w:t>
      </w:r>
    </w:p>
  </w:comment>
  <w:comment w:id="11" w:author="CATALINA BARRIOS CARDENAS" w:date="2026-04-27T10:48:00Z" w:initials="CB">
    <w:p w14:paraId="7CB066BD" w14:textId="77777777" w:rsidR="0017217B" w:rsidRDefault="0017217B" w:rsidP="0017217B">
      <w:pPr>
        <w:pStyle w:val="Textocomentario"/>
      </w:pPr>
      <w:r>
        <w:rPr>
          <w:rStyle w:val="Refdecomentario"/>
        </w:rPr>
        <w:annotationRef/>
      </w:r>
      <w:r>
        <w:t>ACTUALIZAR METAS 2026</w:t>
      </w:r>
    </w:p>
  </w:comment>
  <w:comment w:id="13" w:author="CATALINA BARRIOS CARDENAS" w:date="2026-04-27T10:50:00Z" w:initials="CB">
    <w:p w14:paraId="782EE540" w14:textId="77777777" w:rsidR="0017217B" w:rsidRDefault="0017217B" w:rsidP="0017217B">
      <w:pPr>
        <w:pStyle w:val="Textocomentario"/>
      </w:pPr>
      <w:r>
        <w:rPr>
          <w:rStyle w:val="Refdecomentario"/>
        </w:rPr>
        <w:annotationRef/>
      </w:r>
      <w:r>
        <w:t>ACTUALIZAR VIGENCIA Y PRIMER CORTE</w:t>
      </w:r>
    </w:p>
  </w:comment>
  <w:comment w:id="18" w:author="Jaime Mora Bosiga" w:date="2026-05-08T13:39:00Z" w:initials="JM">
    <w:p w14:paraId="2763F8C9" w14:textId="526AB77E" w:rsidR="00523EDF" w:rsidRDefault="00523EDF">
      <w:pPr>
        <w:pStyle w:val="Textocomentario"/>
      </w:pPr>
      <w:r>
        <w:rPr>
          <w:rStyle w:val="Refdecomentario"/>
        </w:rPr>
        <w:annotationRef/>
      </w:r>
      <w:r>
        <w:t>A diciembre de 2025 persisten 22.932 subsidios sin materializar correspondientes al periodo 2011-2019 equivalentes al 21</w:t>
      </w:r>
      <w:r w:rsidR="002D5F7B">
        <w:t xml:space="preserve">.3 </w:t>
      </w:r>
      <w:r>
        <w:t xml:space="preserve">% del total otorgado, situación que evidencia un rezago estructural </w:t>
      </w:r>
      <w:r w:rsidR="00407BB2">
        <w:t xml:space="preserve">que lleva </w:t>
      </w:r>
      <w:proofErr w:type="spellStart"/>
      <w:r w:rsidR="00407BB2">
        <w:t>mas</w:t>
      </w:r>
      <w:proofErr w:type="spellEnd"/>
      <w:r w:rsidR="00407BB2">
        <w:t xml:space="preserve"> de una década </w:t>
      </w:r>
    </w:p>
  </w:comment>
  <w:comment w:id="19" w:author="Jaime Mora Bosiga" w:date="2026-05-08T13:43:00Z" w:initials="JM">
    <w:p w14:paraId="1ADCC394" w14:textId="2247B240" w:rsidR="00523EDF" w:rsidRDefault="00523EDF">
      <w:pPr>
        <w:pStyle w:val="Textocomentario"/>
      </w:pPr>
      <w:r>
        <w:rPr>
          <w:rStyle w:val="Refdecomentario"/>
        </w:rPr>
        <w:annotationRef/>
      </w:r>
    </w:p>
  </w:comment>
  <w:comment w:id="20" w:author="Jaime Mora Bosiga" w:date="2026-05-08T13:43:00Z" w:initials="JM">
    <w:p w14:paraId="338DFE8B" w14:textId="696AE44C" w:rsidR="00523EDF" w:rsidRDefault="00523EDF">
      <w:pPr>
        <w:pStyle w:val="Textocomentario"/>
      </w:pPr>
      <w:r>
        <w:rPr>
          <w:rStyle w:val="Refdecomentario"/>
        </w:rPr>
        <w:annotationRef/>
      </w:r>
    </w:p>
  </w:comment>
  <w:comment w:id="24" w:author="CATALINA BARRIOS CARDENAS" w:date="2026-04-27T10:55:00Z" w:initials="CB">
    <w:p w14:paraId="303B9AC9" w14:textId="77777777" w:rsidR="00213B0C" w:rsidRDefault="00213B0C" w:rsidP="00213B0C">
      <w:pPr>
        <w:pStyle w:val="Textocomentario"/>
      </w:pPr>
      <w:r>
        <w:rPr>
          <w:rStyle w:val="Refdecomentario"/>
        </w:rPr>
        <w:annotationRef/>
      </w:r>
      <w:r>
        <w:t>ELIMINAR ESTE ACÁPITE INCORPORAR EN LA GESTIÓN DE INDEXACIÓN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F173D59" w15:done="0"/>
  <w15:commentEx w15:paraId="62EF779B" w15:done="0"/>
  <w15:commentEx w15:paraId="7CB066BD" w15:done="0"/>
  <w15:commentEx w15:paraId="782EE540" w15:done="0"/>
  <w15:commentEx w15:paraId="2763F8C9" w15:done="0"/>
  <w15:commentEx w15:paraId="1ADCC394" w15:paraIdParent="2763F8C9" w15:done="0"/>
  <w15:commentEx w15:paraId="338DFE8B" w15:paraIdParent="2763F8C9" w15:done="0"/>
  <w15:commentEx w15:paraId="303B9AC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5E8BC13" w16cex:dateUtc="2026-04-27T15:46:00Z"/>
  <w16cex:commentExtensible w16cex:durableId="14294D27" w16cex:dateUtc="2026-04-27T15:45:00Z"/>
  <w16cex:commentExtensible w16cex:durableId="0798EC8C" w16cex:dateUtc="2026-04-27T15:48:00Z"/>
  <w16cex:commentExtensible w16cex:durableId="54EA93A0" w16cex:dateUtc="2026-04-27T15:50:00Z"/>
  <w16cex:commentExtensible w16cex:durableId="53705DFF" w16cex:dateUtc="2026-05-08T18:39:00Z"/>
  <w16cex:commentExtensible w16cex:durableId="4748E14E" w16cex:dateUtc="2026-05-08T18:43:00Z"/>
  <w16cex:commentExtensible w16cex:durableId="1ADC7A98" w16cex:dateUtc="2026-05-08T18:43:00Z"/>
  <w16cex:commentExtensible w16cex:durableId="0260AD30" w16cex:dateUtc="2026-04-27T15: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F173D59" w16cid:durableId="75E8BC13"/>
  <w16cid:commentId w16cid:paraId="62EF779B" w16cid:durableId="14294D27"/>
  <w16cid:commentId w16cid:paraId="7CB066BD" w16cid:durableId="0798EC8C"/>
  <w16cid:commentId w16cid:paraId="782EE540" w16cid:durableId="54EA93A0"/>
  <w16cid:commentId w16cid:paraId="2763F8C9" w16cid:durableId="53705DFF"/>
  <w16cid:commentId w16cid:paraId="1ADCC394" w16cid:durableId="4748E14E"/>
  <w16cid:commentId w16cid:paraId="338DFE8B" w16cid:durableId="1ADC7A98"/>
  <w16cid:commentId w16cid:paraId="303B9AC9" w16cid:durableId="0260AD3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7D7BA8" w14:textId="77777777" w:rsidR="006E5748" w:rsidRDefault="006E5748" w:rsidP="0070764E">
      <w:r>
        <w:separator/>
      </w:r>
    </w:p>
  </w:endnote>
  <w:endnote w:type="continuationSeparator" w:id="0">
    <w:p w14:paraId="5E6B6965" w14:textId="77777777" w:rsidR="006E5748" w:rsidRDefault="006E5748" w:rsidP="007076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w Cen MT">
    <w:panose1 w:val="020B0602020104020603"/>
    <w:charset w:val="00"/>
    <w:family w:val="swiss"/>
    <w:pitch w:val="variable"/>
    <w:sig w:usb0="00000007" w:usb1="00000000" w:usb2="00000000" w:usb3="00000000" w:csb0="00000003"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M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hAnsiTheme="minorHAnsi" w:cstheme="minorHAnsi"/>
        <w:sz w:val="22"/>
        <w:szCs w:val="22"/>
      </w:rPr>
      <w:id w:val="-1446762847"/>
      <w:docPartObj>
        <w:docPartGallery w:val="Page Numbers (Bottom of Page)"/>
        <w:docPartUnique/>
      </w:docPartObj>
    </w:sdtPr>
    <w:sdtContent>
      <w:p w14:paraId="27B7976B" w14:textId="30C9A904" w:rsidR="00F5604F" w:rsidRPr="007E314E" w:rsidRDefault="00F5604F">
        <w:pPr>
          <w:pStyle w:val="Piedepgina"/>
          <w:jc w:val="center"/>
          <w:rPr>
            <w:rFonts w:asciiTheme="minorHAnsi" w:hAnsiTheme="minorHAnsi" w:cstheme="minorHAnsi"/>
            <w:sz w:val="22"/>
            <w:szCs w:val="22"/>
          </w:rPr>
        </w:pPr>
        <w:r w:rsidRPr="007E314E">
          <w:rPr>
            <w:rFonts w:asciiTheme="minorHAnsi" w:hAnsiTheme="minorHAnsi" w:cstheme="minorHAnsi"/>
            <w:sz w:val="22"/>
            <w:szCs w:val="22"/>
          </w:rPr>
          <w:fldChar w:fldCharType="begin"/>
        </w:r>
        <w:r w:rsidRPr="007E314E">
          <w:rPr>
            <w:rFonts w:asciiTheme="minorHAnsi" w:hAnsiTheme="minorHAnsi" w:cstheme="minorHAnsi"/>
            <w:sz w:val="22"/>
            <w:szCs w:val="22"/>
          </w:rPr>
          <w:instrText>PAGE   \* MERGEFORMAT</w:instrText>
        </w:r>
        <w:r w:rsidRPr="007E314E">
          <w:rPr>
            <w:rFonts w:asciiTheme="minorHAnsi" w:hAnsiTheme="minorHAnsi" w:cstheme="minorHAnsi"/>
            <w:sz w:val="22"/>
            <w:szCs w:val="22"/>
          </w:rPr>
          <w:fldChar w:fldCharType="separate"/>
        </w:r>
        <w:r w:rsidRPr="0006086A">
          <w:rPr>
            <w:rFonts w:asciiTheme="minorHAnsi" w:hAnsiTheme="minorHAnsi" w:cstheme="minorHAnsi"/>
            <w:noProof/>
            <w:sz w:val="22"/>
            <w:szCs w:val="22"/>
            <w:lang w:val="es-ES"/>
          </w:rPr>
          <w:t>12</w:t>
        </w:r>
        <w:r w:rsidRPr="007E314E">
          <w:rPr>
            <w:rFonts w:asciiTheme="minorHAnsi" w:hAnsiTheme="minorHAnsi" w:cstheme="minorHAnsi"/>
            <w:sz w:val="22"/>
            <w:szCs w:val="22"/>
          </w:rPr>
          <w:fldChar w:fldCharType="end"/>
        </w:r>
      </w:p>
    </w:sdtContent>
  </w:sdt>
  <w:p w14:paraId="3DF953CD" w14:textId="77777777" w:rsidR="00F5604F" w:rsidRDefault="00F5604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2CA222" w14:textId="77777777" w:rsidR="006E5748" w:rsidRDefault="006E5748" w:rsidP="0070764E">
      <w:bookmarkStart w:id="0" w:name="_Hlk210293804"/>
      <w:bookmarkEnd w:id="0"/>
      <w:r>
        <w:separator/>
      </w:r>
    </w:p>
  </w:footnote>
  <w:footnote w:type="continuationSeparator" w:id="0">
    <w:p w14:paraId="091F1D03" w14:textId="77777777" w:rsidR="006E5748" w:rsidRDefault="006E5748" w:rsidP="0070764E">
      <w:r>
        <w:continuationSeparator/>
      </w:r>
    </w:p>
  </w:footnote>
  <w:footnote w:id="1">
    <w:p w14:paraId="386D0179" w14:textId="77777777" w:rsidR="00997A58" w:rsidRPr="00EC706E" w:rsidRDefault="00F4128E" w:rsidP="00221F0B">
      <w:pPr>
        <w:pStyle w:val="Textonotapie"/>
        <w:jc w:val="both"/>
        <w:rPr>
          <w:rFonts w:ascii="Arial" w:hAnsi="Arial" w:cs="Arial"/>
          <w:sz w:val="18"/>
          <w:szCs w:val="18"/>
          <w:lang w:val="es-MX"/>
        </w:rPr>
      </w:pPr>
      <w:r w:rsidRPr="00EC706E">
        <w:rPr>
          <w:rStyle w:val="Refdenotaalpie"/>
          <w:rFonts w:ascii="Arial" w:hAnsi="Arial" w:cs="Arial"/>
          <w:sz w:val="18"/>
          <w:szCs w:val="18"/>
        </w:rPr>
        <w:footnoteRef/>
      </w:r>
      <w:r w:rsidRPr="00EC706E">
        <w:rPr>
          <w:rFonts w:ascii="Arial" w:hAnsi="Arial" w:cs="Arial"/>
          <w:sz w:val="18"/>
          <w:szCs w:val="18"/>
        </w:rPr>
        <w:t xml:space="preserve"> </w:t>
      </w:r>
      <w:r w:rsidR="00997A58" w:rsidRPr="00EC706E">
        <w:rPr>
          <w:rFonts w:ascii="Arial" w:hAnsi="Arial" w:cs="Arial"/>
          <w:sz w:val="18"/>
          <w:szCs w:val="18"/>
          <w:lang w:val="es-MX"/>
        </w:rPr>
        <w:t>Ley 2294 de 2023. ARTÍCULO 295. CIERRE PROGRAMA DE SUBSIDIO FAMILIAR DE VIVIENDA DE INTERÉS SOCIAL Y PRIORITARIO RURAL. Con el fin de verificar el estado actual del programa de subsidio familiar de vivienda de interés social y prioritario rural, correspondiente a los años 2000 a 2019, el Ministerio de Agricultura y Desarrollo Rural contratará de manera directa una auditoría que tenga como fin determinar el número de subsidios que están otorgados pendientes de ser materializados, el estado de avance de ejecución y los valores que se requieren para su respectivo cumplimiento.</w:t>
      </w:r>
    </w:p>
    <w:p w14:paraId="548966B9" w14:textId="6DB343CB" w:rsidR="00997A58" w:rsidRPr="00EC706E" w:rsidRDefault="00997A58" w:rsidP="00221F0B">
      <w:pPr>
        <w:pStyle w:val="Textonotapie"/>
        <w:jc w:val="both"/>
        <w:rPr>
          <w:rFonts w:ascii="Arial" w:hAnsi="Arial" w:cs="Arial"/>
          <w:sz w:val="18"/>
          <w:szCs w:val="18"/>
          <w:lang w:val="es-MX"/>
        </w:rPr>
      </w:pPr>
      <w:r w:rsidRPr="00EC706E">
        <w:rPr>
          <w:rFonts w:ascii="Arial" w:hAnsi="Arial" w:cs="Arial"/>
          <w:sz w:val="18"/>
          <w:szCs w:val="18"/>
          <w:lang w:val="es-MX"/>
        </w:rPr>
        <w:t>Como resultado de la auditoría que se lleve a cabo, el Gobierno Nacional, a través del Ministerio de Agricultura y Desarrollo Rural, indexará los subsidios familiar de vivienda de interés social y prioritario rural de las vigencias 2000 al 2019, que no hayan culminado la fase de obra a la entrada en vigencia de la presente ley, su monto será actualizado al valor del subsidio máximo establecido por el Ministerio de Vivienda, Ciudad y Territorio en el artículo 2.1.10.1.1.4.1 del Decreto 1077 de 2015, o cualquier disposición que lo sustituya, modifique o derogue.</w:t>
      </w:r>
    </w:p>
    <w:p w14:paraId="23F0500E" w14:textId="3636B8A6" w:rsidR="00F4128E" w:rsidRPr="00F4128E" w:rsidRDefault="00997A58" w:rsidP="00221F0B">
      <w:pPr>
        <w:pStyle w:val="Textonotapie"/>
        <w:jc w:val="both"/>
        <w:rPr>
          <w:lang w:val="es-MX"/>
        </w:rPr>
      </w:pPr>
      <w:r w:rsidRPr="00EC706E">
        <w:rPr>
          <w:rFonts w:ascii="Arial" w:hAnsi="Arial" w:cs="Arial"/>
          <w:sz w:val="18"/>
          <w:szCs w:val="18"/>
          <w:lang w:val="es-MX"/>
        </w:rPr>
        <w:t>Para este efecto el Gobierno nacional realizará la apropiación presupuestal y los ajustes correspondientes respetando tanto el Marco de Gasto de Mediano Plazo, así como el Marco Fiscal de Mediano Plazo.</w:t>
      </w:r>
    </w:p>
  </w:footnote>
  <w:footnote w:id="2">
    <w:p w14:paraId="130B33DB" w14:textId="42062003" w:rsidR="00F37166" w:rsidRPr="00F37166" w:rsidRDefault="00F37166" w:rsidP="00AA3F59">
      <w:pPr>
        <w:pStyle w:val="Textonotapie"/>
      </w:pPr>
      <w:r>
        <w:rPr>
          <w:rStyle w:val="Refdenotaalpie"/>
        </w:rPr>
        <w:footnoteRef/>
      </w:r>
      <w:r>
        <w:t xml:space="preserve"> Fuente</w:t>
      </w:r>
      <w:r w:rsidR="00AA3F59">
        <w:t>. Plantilla Ajustes y Actualizaciones Proyectos de Inversión</w:t>
      </w:r>
      <w:r w:rsidR="00A40CA7">
        <w:t xml:space="preserve"> fecha 28 de octubre de 2025. </w:t>
      </w:r>
    </w:p>
  </w:footnote>
  <w:footnote w:id="3">
    <w:p w14:paraId="2F5D0236" w14:textId="66C7DC1C" w:rsidR="001A6DF7" w:rsidRPr="001A6DF7" w:rsidRDefault="001A6DF7">
      <w:pPr>
        <w:pStyle w:val="Textonotapie"/>
        <w:rPr>
          <w:lang w:val="es-MX"/>
        </w:rPr>
      </w:pPr>
      <w:r>
        <w:rPr>
          <w:rStyle w:val="Refdenotaalpie"/>
        </w:rPr>
        <w:footnoteRef/>
      </w:r>
      <w:r>
        <w:t xml:space="preserve"> </w:t>
      </w:r>
      <w:r>
        <w:rPr>
          <w:lang w:val="es-MX"/>
        </w:rPr>
        <w:t xml:space="preserve">Nota. Es preciso tener en cuenta que, durante el periodo de selección del proveedor y ejecución del contrato de auditoría se materializaron subsidios y el número ha variado en relación al momento de contratar.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6258B" w14:textId="5C1CAA58" w:rsidR="00E73243" w:rsidRDefault="00F5604F" w:rsidP="00423995">
    <w:pPr>
      <w:pStyle w:val="Encabezado"/>
      <w:tabs>
        <w:tab w:val="clear" w:pos="4419"/>
        <w:tab w:val="clear" w:pos="8838"/>
        <w:tab w:val="left" w:pos="599"/>
        <w:tab w:val="left" w:pos="1056"/>
        <w:tab w:val="left" w:pos="6502"/>
      </w:tabs>
    </w:pPr>
    <w:r w:rsidRPr="007264CE">
      <w:rPr>
        <w:noProof/>
        <w:lang w:eastAsia="es-CO"/>
      </w:rPr>
      <mc:AlternateContent>
        <mc:Choice Requires="wps">
          <w:drawing>
            <wp:anchor distT="0" distB="0" distL="114300" distR="114300" simplePos="0" relativeHeight="251660288" behindDoc="1" locked="0" layoutInCell="1" allowOverlap="1" wp14:anchorId="016D00E4" wp14:editId="38CC607C">
              <wp:simplePos x="0" y="0"/>
              <wp:positionH relativeFrom="page">
                <wp:posOffset>678180</wp:posOffset>
              </wp:positionH>
              <wp:positionV relativeFrom="page">
                <wp:posOffset>302895</wp:posOffset>
              </wp:positionV>
              <wp:extent cx="2946400" cy="538480"/>
              <wp:effectExtent l="0" t="0" r="6350" b="13970"/>
              <wp:wrapNone/>
              <wp:docPr id="3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6400" cy="538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444014" w14:textId="6FEB5901" w:rsidR="00F5604F" w:rsidRDefault="00F5604F" w:rsidP="0070764E">
                          <w:pPr>
                            <w:pStyle w:val="TableParagraph"/>
                            <w:spacing w:before="20"/>
                            <w:ind w:left="20" w:right="4"/>
                            <w:rPr>
                              <w:color w:val="808080"/>
                            </w:rPr>
                          </w:pPr>
                          <w:r>
                            <w:rPr>
                              <w:color w:val="808080"/>
                            </w:rPr>
                            <w:t xml:space="preserve">PROGAMA DE VIVIENDA DE INTERÉS SOCIAL RURAL INFORME </w:t>
                          </w:r>
                          <w:r w:rsidR="00A66407">
                            <w:rPr>
                              <w:color w:val="808080"/>
                            </w:rPr>
                            <w:t>TRIMESTRAL</w:t>
                          </w:r>
                          <w:r>
                            <w:rPr>
                              <w:color w:val="808080"/>
                            </w:rPr>
                            <w:t xml:space="preserve"> </w:t>
                          </w:r>
                          <w:r w:rsidR="00423995">
                            <w:rPr>
                              <w:color w:val="808080"/>
                            </w:rPr>
                            <w:t xml:space="preserve">IV – </w:t>
                          </w:r>
                          <w:r>
                            <w:rPr>
                              <w:color w:val="808080"/>
                            </w:rPr>
                            <w:t>202</w:t>
                          </w:r>
                          <w:r w:rsidR="00F838AE">
                            <w:rPr>
                              <w:color w:val="808080"/>
                            </w:rPr>
                            <w:t>5</w:t>
                          </w:r>
                          <w:r w:rsidR="00423995">
                            <w:rPr>
                              <w:color w:val="808080"/>
                            </w:rPr>
                            <w:t xml:space="preserve"> CIERRE</w:t>
                          </w:r>
                        </w:p>
                        <w:p w14:paraId="09B2438C" w14:textId="77777777" w:rsidR="00F5604F" w:rsidRDefault="00F5604F" w:rsidP="0070764E">
                          <w:pPr>
                            <w:pStyle w:val="TableParagraph"/>
                            <w:spacing w:before="20"/>
                            <w:ind w:left="20" w:right="4"/>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6D00E4" id="_x0000_t202" coordsize="21600,21600" o:spt="202" path="m,l,21600r21600,l21600,xe">
              <v:stroke joinstyle="miter"/>
              <v:path gradientshapeok="t" o:connecttype="rect"/>
            </v:shapetype>
            <v:shape id="Text Box 4" o:spid="_x0000_s1035" type="#_x0000_t202" style="position:absolute;margin-left:53.4pt;margin-top:23.85pt;width:232pt;height:42.4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" filled="f" stroked="f">
              <v:textbox inset="0,0,0,0">
                <w:txbxContent>
                  <w:p w14:paraId="2C444014" w14:textId="6FEB5901" w:rsidR="00F5604F" w:rsidRDefault="00F5604F" w:rsidP="0070764E">
                    <w:pPr>
                      <w:pStyle w:val="TableParagraph"/>
                      <w:spacing w:before="20"/>
                      <w:ind w:left="20" w:right="4"/>
                      <w:rPr>
                        <w:color w:val="808080"/>
                      </w:rPr>
                    </w:pPr>
                    <w:r>
                      <w:rPr>
                        <w:color w:val="808080"/>
                      </w:rPr>
                      <w:t xml:space="preserve">PROGAMA DE VIVIENDA DE INTERÉS SOCIAL RURAL INFORME </w:t>
                    </w:r>
                    <w:r w:rsidR="00A66407">
                      <w:rPr>
                        <w:color w:val="808080"/>
                      </w:rPr>
                      <w:t>TRIMESTRAL</w:t>
                    </w:r>
                    <w:r>
                      <w:rPr>
                        <w:color w:val="808080"/>
                      </w:rPr>
                      <w:t xml:space="preserve"> </w:t>
                    </w:r>
                    <w:r w:rsidR="00423995">
                      <w:rPr>
                        <w:color w:val="808080"/>
                      </w:rPr>
                      <w:t xml:space="preserve">IV – </w:t>
                    </w:r>
                    <w:r>
                      <w:rPr>
                        <w:color w:val="808080"/>
                      </w:rPr>
                      <w:t>202</w:t>
                    </w:r>
                    <w:r w:rsidR="00F838AE">
                      <w:rPr>
                        <w:color w:val="808080"/>
                      </w:rPr>
                      <w:t>5</w:t>
                    </w:r>
                    <w:r w:rsidR="00423995">
                      <w:rPr>
                        <w:color w:val="808080"/>
                      </w:rPr>
                      <w:t xml:space="preserve"> CIERRE</w:t>
                    </w:r>
                  </w:p>
                  <w:p w14:paraId="09B2438C" w14:textId="77777777" w:rsidR="00F5604F" w:rsidRDefault="00F5604F" w:rsidP="0070764E">
                    <w:pPr>
                      <w:pStyle w:val="TableParagraph"/>
                      <w:spacing w:before="20"/>
                      <w:ind w:left="20" w:right="4"/>
                    </w:pPr>
                  </w:p>
                </w:txbxContent>
              </v:textbox>
              <w10:wrap anchorx="page" anchory="page"/>
            </v:shape>
          </w:pict>
        </mc:Fallback>
      </mc:AlternateContent>
    </w:r>
    <w:r w:rsidR="00F838AE">
      <w:tab/>
    </w:r>
    <w:r w:rsidR="00A66407">
      <w:tab/>
    </w:r>
    <w:r w:rsidR="00423995">
      <w:tab/>
    </w:r>
    <w:r w:rsidR="00E73243" w:rsidRPr="00F838AE">
      <w:rPr>
        <w:noProof/>
      </w:rPr>
      <w:drawing>
        <wp:inline distT="0" distB="0" distL="0" distR="0" wp14:anchorId="686DFB88" wp14:editId="5E57921B">
          <wp:extent cx="1272540" cy="706755"/>
          <wp:effectExtent l="0" t="0" r="3810" b="0"/>
          <wp:docPr id="2037821253"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2540" cy="706755"/>
                  </a:xfrm>
                  <a:prstGeom prst="rect">
                    <a:avLst/>
                  </a:prstGeom>
                  <a:noFill/>
                  <a:ln>
                    <a:noFill/>
                  </a:ln>
                </pic:spPr>
              </pic:pic>
            </a:graphicData>
          </a:graphic>
        </wp:inline>
      </w:drawing>
    </w:r>
  </w:p>
  <w:p w14:paraId="2D15E70B" w14:textId="76F725ED" w:rsidR="00F5604F" w:rsidRDefault="00F5604F" w:rsidP="00F838AE">
    <w:pPr>
      <w:pStyle w:val="Encabezado"/>
      <w:tabs>
        <w:tab w:val="clear" w:pos="4419"/>
        <w:tab w:val="clear" w:pos="8838"/>
        <w:tab w:val="left" w:pos="6502"/>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5E83A"/>
    <w:multiLevelType w:val="hybridMultilevel"/>
    <w:tmpl w:val="FFFFFFFF"/>
    <w:lvl w:ilvl="0" w:tplc="FFFFFFFF">
      <w:start w:val="1"/>
      <w:numFmt w:val="lowerRoman"/>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FF85D31"/>
    <w:multiLevelType w:val="multilevel"/>
    <w:tmpl w:val="AE34B702"/>
    <w:styleLink w:val="Listaactual1"/>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1F212E2"/>
    <w:multiLevelType w:val="multilevel"/>
    <w:tmpl w:val="4C189C8E"/>
    <w:styleLink w:val="Listaactual2"/>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Zero"/>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2C295969"/>
    <w:multiLevelType w:val="hybridMultilevel"/>
    <w:tmpl w:val="8E4EE36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 w15:restartNumberingAfterBreak="0">
    <w:nsid w:val="2FAE63ED"/>
    <w:multiLevelType w:val="hybridMultilevel"/>
    <w:tmpl w:val="FADEA9C8"/>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15:restartNumberingAfterBreak="0">
    <w:nsid w:val="34270099"/>
    <w:multiLevelType w:val="multilevel"/>
    <w:tmpl w:val="4D7E5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4F54E12"/>
    <w:multiLevelType w:val="hybridMultilevel"/>
    <w:tmpl w:val="BD16849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7" w15:restartNumberingAfterBreak="0">
    <w:nsid w:val="4E821399"/>
    <w:multiLevelType w:val="hybridMultilevel"/>
    <w:tmpl w:val="D5743DB2"/>
    <w:lvl w:ilvl="0" w:tplc="C12C6ED8">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50436EAD"/>
    <w:multiLevelType w:val="multilevel"/>
    <w:tmpl w:val="5272377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55295A42"/>
    <w:multiLevelType w:val="hybridMultilevel"/>
    <w:tmpl w:val="FFFFFFFF"/>
    <w:lvl w:ilvl="0" w:tplc="FFFFFFFF">
      <w:start w:val="1"/>
      <w:numFmt w:val="upp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5B2C0118"/>
    <w:multiLevelType w:val="hybridMultilevel"/>
    <w:tmpl w:val="968ABA6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1" w15:restartNumberingAfterBreak="0">
    <w:nsid w:val="5C700D6D"/>
    <w:multiLevelType w:val="hybridMultilevel"/>
    <w:tmpl w:val="2DCC653C"/>
    <w:lvl w:ilvl="0" w:tplc="88387288">
      <w:start w:val="1"/>
      <w:numFmt w:val="decimal"/>
      <w:lvlText w:val="%1."/>
      <w:lvlJc w:val="left"/>
      <w:pPr>
        <w:ind w:left="-207" w:hanging="360"/>
      </w:pPr>
      <w:rPr>
        <w:rFonts w:hint="default"/>
      </w:rPr>
    </w:lvl>
    <w:lvl w:ilvl="1" w:tplc="080A0019" w:tentative="1">
      <w:start w:val="1"/>
      <w:numFmt w:val="lowerLetter"/>
      <w:lvlText w:val="%2."/>
      <w:lvlJc w:val="left"/>
      <w:pPr>
        <w:ind w:left="513" w:hanging="360"/>
      </w:pPr>
    </w:lvl>
    <w:lvl w:ilvl="2" w:tplc="080A001B" w:tentative="1">
      <w:start w:val="1"/>
      <w:numFmt w:val="lowerRoman"/>
      <w:lvlText w:val="%3."/>
      <w:lvlJc w:val="right"/>
      <w:pPr>
        <w:ind w:left="1233" w:hanging="180"/>
      </w:pPr>
    </w:lvl>
    <w:lvl w:ilvl="3" w:tplc="080A000F" w:tentative="1">
      <w:start w:val="1"/>
      <w:numFmt w:val="decimal"/>
      <w:lvlText w:val="%4."/>
      <w:lvlJc w:val="left"/>
      <w:pPr>
        <w:ind w:left="1953" w:hanging="360"/>
      </w:pPr>
    </w:lvl>
    <w:lvl w:ilvl="4" w:tplc="080A0019" w:tentative="1">
      <w:start w:val="1"/>
      <w:numFmt w:val="lowerLetter"/>
      <w:lvlText w:val="%5."/>
      <w:lvlJc w:val="left"/>
      <w:pPr>
        <w:ind w:left="2673" w:hanging="360"/>
      </w:pPr>
    </w:lvl>
    <w:lvl w:ilvl="5" w:tplc="080A001B" w:tentative="1">
      <w:start w:val="1"/>
      <w:numFmt w:val="lowerRoman"/>
      <w:lvlText w:val="%6."/>
      <w:lvlJc w:val="right"/>
      <w:pPr>
        <w:ind w:left="3393" w:hanging="180"/>
      </w:pPr>
    </w:lvl>
    <w:lvl w:ilvl="6" w:tplc="080A000F" w:tentative="1">
      <w:start w:val="1"/>
      <w:numFmt w:val="decimal"/>
      <w:lvlText w:val="%7."/>
      <w:lvlJc w:val="left"/>
      <w:pPr>
        <w:ind w:left="4113" w:hanging="360"/>
      </w:pPr>
    </w:lvl>
    <w:lvl w:ilvl="7" w:tplc="080A0019" w:tentative="1">
      <w:start w:val="1"/>
      <w:numFmt w:val="lowerLetter"/>
      <w:lvlText w:val="%8."/>
      <w:lvlJc w:val="left"/>
      <w:pPr>
        <w:ind w:left="4833" w:hanging="360"/>
      </w:pPr>
    </w:lvl>
    <w:lvl w:ilvl="8" w:tplc="080A001B" w:tentative="1">
      <w:start w:val="1"/>
      <w:numFmt w:val="lowerRoman"/>
      <w:lvlText w:val="%9."/>
      <w:lvlJc w:val="right"/>
      <w:pPr>
        <w:ind w:left="5553" w:hanging="180"/>
      </w:pPr>
    </w:lvl>
  </w:abstractNum>
  <w:abstractNum w:abstractNumId="12" w15:restartNumberingAfterBreak="0">
    <w:nsid w:val="5D472AF3"/>
    <w:multiLevelType w:val="multilevel"/>
    <w:tmpl w:val="C2D87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D5C6783"/>
    <w:multiLevelType w:val="hybridMultilevel"/>
    <w:tmpl w:val="D7B033E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610F5AB0"/>
    <w:multiLevelType w:val="hybridMultilevel"/>
    <w:tmpl w:val="A3A81160"/>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696757DA"/>
    <w:multiLevelType w:val="multilevel"/>
    <w:tmpl w:val="2E8E7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0B802F7"/>
    <w:multiLevelType w:val="multilevel"/>
    <w:tmpl w:val="E7703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7481551B"/>
    <w:multiLevelType w:val="multilevel"/>
    <w:tmpl w:val="BA42EE30"/>
    <w:lvl w:ilvl="0">
      <w:start w:val="1"/>
      <w:numFmt w:val="bullet"/>
      <w:lvlText w:val=""/>
      <w:lvlJc w:val="left"/>
      <w:pPr>
        <w:tabs>
          <w:tab w:val="num" w:pos="720"/>
        </w:tabs>
        <w:ind w:left="720" w:hanging="360"/>
      </w:pPr>
      <w:rPr>
        <w:rFonts w:ascii="Symbol" w:hAnsi="Symbol" w:hint="default"/>
        <w:sz w:val="20"/>
      </w:rPr>
    </w:lvl>
    <w:lvl w:ilvl="1">
      <w:start w:val="2026"/>
      <w:numFmt w:val="bullet"/>
      <w:lvlText w:val="-"/>
      <w:lvlJc w:val="left"/>
      <w:pPr>
        <w:ind w:left="1440" w:hanging="360"/>
      </w:pPr>
      <w:rPr>
        <w:rFonts w:ascii="Arial" w:eastAsiaTheme="minorEastAsia" w:hAnsi="Arial" w:cs="Arial"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7C855CD5"/>
    <w:multiLevelType w:val="multilevel"/>
    <w:tmpl w:val="3D9E3AD8"/>
    <w:lvl w:ilvl="0">
      <w:start w:val="1"/>
      <w:numFmt w:val="decimal"/>
      <w:lvlText w:val="%1."/>
      <w:lvlJc w:val="left"/>
      <w:pPr>
        <w:ind w:left="720" w:hanging="360"/>
      </w:pPr>
      <w:rPr>
        <w:rFonts w:hint="default"/>
        <w:color w:val="385623" w:themeColor="accent6" w:themeShade="80"/>
        <w:sz w:val="22"/>
        <w:szCs w:val="22"/>
      </w:rPr>
    </w:lvl>
    <w:lvl w:ilvl="1">
      <w:start w:val="1"/>
      <w:numFmt w:val="decimal"/>
      <w:isLgl/>
      <w:lvlText w:val="%1.%2."/>
      <w:lvlJc w:val="left"/>
      <w:pPr>
        <w:ind w:left="502" w:hanging="360"/>
      </w:pPr>
      <w:rPr>
        <w:rFonts w:asciiTheme="minorHAnsi" w:hAnsiTheme="minorHAnsi" w:cstheme="minorHAnsi" w:hint="default"/>
      </w:rPr>
    </w:lvl>
    <w:lvl w:ilvl="2">
      <w:start w:val="1"/>
      <w:numFmt w:val="decimal"/>
      <w:isLgl/>
      <w:lvlText w:val="%1.%2.%3."/>
      <w:lvlJc w:val="left"/>
      <w:pPr>
        <w:ind w:left="1080" w:hanging="720"/>
      </w:pPr>
      <w:rPr>
        <w:rFonts w:asciiTheme="minorHAnsi" w:hAnsiTheme="minorHAnsi" w:cstheme="minorHAnsi" w:hint="default"/>
      </w:rPr>
    </w:lvl>
    <w:lvl w:ilvl="3">
      <w:start w:val="1"/>
      <w:numFmt w:val="decimalZero"/>
      <w:isLgl/>
      <w:lvlText w:val="%1.%2.%3.%4."/>
      <w:lvlJc w:val="left"/>
      <w:pPr>
        <w:ind w:left="1080" w:hanging="720"/>
      </w:pPr>
      <w:rPr>
        <w:rFonts w:asciiTheme="minorHAnsi" w:hAnsiTheme="minorHAnsi" w:cstheme="minorHAnsi" w:hint="default"/>
      </w:rPr>
    </w:lvl>
    <w:lvl w:ilvl="4">
      <w:start w:val="1"/>
      <w:numFmt w:val="decimal"/>
      <w:isLgl/>
      <w:lvlText w:val="%1.%2.%3.%4.%5."/>
      <w:lvlJc w:val="left"/>
      <w:pPr>
        <w:ind w:left="1440" w:hanging="1080"/>
      </w:pPr>
      <w:rPr>
        <w:rFonts w:asciiTheme="minorHAnsi" w:hAnsiTheme="minorHAnsi" w:cstheme="minorHAnsi" w:hint="default"/>
      </w:rPr>
    </w:lvl>
    <w:lvl w:ilvl="5">
      <w:start w:val="1"/>
      <w:numFmt w:val="decimal"/>
      <w:isLgl/>
      <w:lvlText w:val="%1.%2.%3.%4.%5.%6."/>
      <w:lvlJc w:val="left"/>
      <w:pPr>
        <w:ind w:left="1440" w:hanging="1080"/>
      </w:pPr>
      <w:rPr>
        <w:rFonts w:asciiTheme="minorHAnsi" w:hAnsiTheme="minorHAnsi" w:cstheme="minorHAnsi" w:hint="default"/>
      </w:rPr>
    </w:lvl>
    <w:lvl w:ilvl="6">
      <w:start w:val="1"/>
      <w:numFmt w:val="decimal"/>
      <w:isLgl/>
      <w:lvlText w:val="%1.%2.%3.%4.%5.%6.%7."/>
      <w:lvlJc w:val="left"/>
      <w:pPr>
        <w:ind w:left="1800" w:hanging="1440"/>
      </w:pPr>
      <w:rPr>
        <w:rFonts w:asciiTheme="minorHAnsi" w:hAnsiTheme="minorHAnsi" w:cstheme="minorHAnsi" w:hint="default"/>
      </w:rPr>
    </w:lvl>
    <w:lvl w:ilvl="7">
      <w:start w:val="1"/>
      <w:numFmt w:val="decimal"/>
      <w:isLgl/>
      <w:lvlText w:val="%1.%2.%3.%4.%5.%6.%7.%8."/>
      <w:lvlJc w:val="left"/>
      <w:pPr>
        <w:ind w:left="1800" w:hanging="1440"/>
      </w:pPr>
      <w:rPr>
        <w:rFonts w:asciiTheme="minorHAnsi" w:hAnsiTheme="minorHAnsi" w:cstheme="minorHAnsi" w:hint="default"/>
      </w:rPr>
    </w:lvl>
    <w:lvl w:ilvl="8">
      <w:start w:val="1"/>
      <w:numFmt w:val="decimal"/>
      <w:isLgl/>
      <w:lvlText w:val="%1.%2.%3.%4.%5.%6.%7.%8.%9."/>
      <w:lvlJc w:val="left"/>
      <w:pPr>
        <w:ind w:left="2160" w:hanging="1800"/>
      </w:pPr>
      <w:rPr>
        <w:rFonts w:asciiTheme="minorHAnsi" w:hAnsiTheme="minorHAnsi" w:cstheme="minorHAnsi" w:hint="default"/>
      </w:rPr>
    </w:lvl>
  </w:abstractNum>
  <w:num w:numId="1" w16cid:durableId="1929271141">
    <w:abstractNumId w:val="13"/>
  </w:num>
  <w:num w:numId="2" w16cid:durableId="2079398179">
    <w:abstractNumId w:val="6"/>
  </w:num>
  <w:num w:numId="3" w16cid:durableId="1993873221">
    <w:abstractNumId w:val="10"/>
  </w:num>
  <w:num w:numId="4" w16cid:durableId="1491940620">
    <w:abstractNumId w:val="3"/>
  </w:num>
  <w:num w:numId="5" w16cid:durableId="1509245469">
    <w:abstractNumId w:val="1"/>
  </w:num>
  <w:num w:numId="6" w16cid:durableId="12466394">
    <w:abstractNumId w:val="2"/>
  </w:num>
  <w:num w:numId="7" w16cid:durableId="1625186964">
    <w:abstractNumId w:val="18"/>
  </w:num>
  <w:num w:numId="8" w16cid:durableId="629172435">
    <w:abstractNumId w:val="4"/>
  </w:num>
  <w:num w:numId="9" w16cid:durableId="745886100">
    <w:abstractNumId w:val="7"/>
  </w:num>
  <w:num w:numId="10" w16cid:durableId="526605466">
    <w:abstractNumId w:val="9"/>
  </w:num>
  <w:num w:numId="11" w16cid:durableId="1557354481">
    <w:abstractNumId w:val="0"/>
  </w:num>
  <w:num w:numId="12" w16cid:durableId="1209994498">
    <w:abstractNumId w:val="8"/>
  </w:num>
  <w:num w:numId="13" w16cid:durableId="1926373947">
    <w:abstractNumId w:val="8"/>
    <w:lvlOverride w:ilvl="1">
      <w:startOverride w:val="1"/>
    </w:lvlOverride>
  </w:num>
  <w:num w:numId="14" w16cid:durableId="1524393919">
    <w:abstractNumId w:val="16"/>
  </w:num>
  <w:num w:numId="15" w16cid:durableId="860435171">
    <w:abstractNumId w:val="12"/>
  </w:num>
  <w:num w:numId="16" w16cid:durableId="116728858">
    <w:abstractNumId w:val="17"/>
  </w:num>
  <w:num w:numId="17" w16cid:durableId="1054700383">
    <w:abstractNumId w:val="5"/>
  </w:num>
  <w:num w:numId="18" w16cid:durableId="1440224715">
    <w:abstractNumId w:val="11"/>
  </w:num>
  <w:num w:numId="19" w16cid:durableId="613295723">
    <w:abstractNumId w:val="15"/>
  </w:num>
  <w:num w:numId="20" w16cid:durableId="2002931455">
    <w:abstractNumId w:val="14"/>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ALINA BARRIOS CARDENAS">
    <w15:presenceInfo w15:providerId="Windows Live" w15:userId="7554ae4530cb63cd"/>
  </w15:person>
  <w15:person w15:author="Jaime Mora Bosiga">
    <w15:presenceInfo w15:providerId="AD" w15:userId="S::jaime.mora@minagricultura.gov.co::fa3205b3-4b70-4227-b5e4-8372603633d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7B52"/>
    <w:rsid w:val="000011D4"/>
    <w:rsid w:val="00002246"/>
    <w:rsid w:val="00002F4A"/>
    <w:rsid w:val="00003662"/>
    <w:rsid w:val="00003B61"/>
    <w:rsid w:val="00004534"/>
    <w:rsid w:val="00005D8E"/>
    <w:rsid w:val="00007856"/>
    <w:rsid w:val="00007D36"/>
    <w:rsid w:val="0001070A"/>
    <w:rsid w:val="00010D1D"/>
    <w:rsid w:val="0001111F"/>
    <w:rsid w:val="00011F52"/>
    <w:rsid w:val="0001264B"/>
    <w:rsid w:val="00014114"/>
    <w:rsid w:val="00015850"/>
    <w:rsid w:val="00016622"/>
    <w:rsid w:val="00016C2D"/>
    <w:rsid w:val="00016DAC"/>
    <w:rsid w:val="00016E6B"/>
    <w:rsid w:val="000214A5"/>
    <w:rsid w:val="00021EFA"/>
    <w:rsid w:val="00023E3C"/>
    <w:rsid w:val="00024870"/>
    <w:rsid w:val="00025E05"/>
    <w:rsid w:val="0002633A"/>
    <w:rsid w:val="00026ED4"/>
    <w:rsid w:val="000302CE"/>
    <w:rsid w:val="00031BBC"/>
    <w:rsid w:val="00032971"/>
    <w:rsid w:val="00033075"/>
    <w:rsid w:val="000347A6"/>
    <w:rsid w:val="00036283"/>
    <w:rsid w:val="00040328"/>
    <w:rsid w:val="00040558"/>
    <w:rsid w:val="000408C0"/>
    <w:rsid w:val="00043608"/>
    <w:rsid w:val="000466B6"/>
    <w:rsid w:val="00047029"/>
    <w:rsid w:val="00052AAE"/>
    <w:rsid w:val="000548FE"/>
    <w:rsid w:val="000552DB"/>
    <w:rsid w:val="00055A10"/>
    <w:rsid w:val="0005654B"/>
    <w:rsid w:val="0006086A"/>
    <w:rsid w:val="00061851"/>
    <w:rsid w:val="000625C5"/>
    <w:rsid w:val="00062CEB"/>
    <w:rsid w:val="00064AA8"/>
    <w:rsid w:val="00064E48"/>
    <w:rsid w:val="00066BDC"/>
    <w:rsid w:val="00066BFA"/>
    <w:rsid w:val="000679CB"/>
    <w:rsid w:val="000700DF"/>
    <w:rsid w:val="000718FB"/>
    <w:rsid w:val="00072BDA"/>
    <w:rsid w:val="000748B7"/>
    <w:rsid w:val="00074C33"/>
    <w:rsid w:val="00074FE1"/>
    <w:rsid w:val="00076064"/>
    <w:rsid w:val="00082195"/>
    <w:rsid w:val="00082A7D"/>
    <w:rsid w:val="00083610"/>
    <w:rsid w:val="00084F8E"/>
    <w:rsid w:val="0008541F"/>
    <w:rsid w:val="00085D49"/>
    <w:rsid w:val="00087C8C"/>
    <w:rsid w:val="00090E16"/>
    <w:rsid w:val="00092D99"/>
    <w:rsid w:val="00092EDD"/>
    <w:rsid w:val="00093031"/>
    <w:rsid w:val="0009375B"/>
    <w:rsid w:val="00094106"/>
    <w:rsid w:val="00096CC5"/>
    <w:rsid w:val="00096F33"/>
    <w:rsid w:val="00097640"/>
    <w:rsid w:val="000A0869"/>
    <w:rsid w:val="000A0879"/>
    <w:rsid w:val="000A16F8"/>
    <w:rsid w:val="000A204F"/>
    <w:rsid w:val="000A32D5"/>
    <w:rsid w:val="000A4A5F"/>
    <w:rsid w:val="000A6D92"/>
    <w:rsid w:val="000B0847"/>
    <w:rsid w:val="000B1575"/>
    <w:rsid w:val="000B2DD4"/>
    <w:rsid w:val="000B300A"/>
    <w:rsid w:val="000B54F7"/>
    <w:rsid w:val="000B5970"/>
    <w:rsid w:val="000C18A2"/>
    <w:rsid w:val="000C193A"/>
    <w:rsid w:val="000C2E5F"/>
    <w:rsid w:val="000C3169"/>
    <w:rsid w:val="000C349C"/>
    <w:rsid w:val="000C42CD"/>
    <w:rsid w:val="000C4339"/>
    <w:rsid w:val="000C4B10"/>
    <w:rsid w:val="000C4E3C"/>
    <w:rsid w:val="000C6C65"/>
    <w:rsid w:val="000C7073"/>
    <w:rsid w:val="000C7F21"/>
    <w:rsid w:val="000D1472"/>
    <w:rsid w:val="000D2A55"/>
    <w:rsid w:val="000D2D12"/>
    <w:rsid w:val="000D3683"/>
    <w:rsid w:val="000D48DA"/>
    <w:rsid w:val="000D52BB"/>
    <w:rsid w:val="000D63A2"/>
    <w:rsid w:val="000D7C34"/>
    <w:rsid w:val="000E1A23"/>
    <w:rsid w:val="000E1A24"/>
    <w:rsid w:val="000E1E4A"/>
    <w:rsid w:val="000E2458"/>
    <w:rsid w:val="000E2A3D"/>
    <w:rsid w:val="000E3168"/>
    <w:rsid w:val="000E3666"/>
    <w:rsid w:val="000E3CD2"/>
    <w:rsid w:val="000E4472"/>
    <w:rsid w:val="000E4732"/>
    <w:rsid w:val="000E53E1"/>
    <w:rsid w:val="000E748F"/>
    <w:rsid w:val="000F01A1"/>
    <w:rsid w:val="000F0D56"/>
    <w:rsid w:val="000F23AB"/>
    <w:rsid w:val="000F2EBB"/>
    <w:rsid w:val="000F369D"/>
    <w:rsid w:val="00100FF2"/>
    <w:rsid w:val="001012FE"/>
    <w:rsid w:val="00102A13"/>
    <w:rsid w:val="00102EEB"/>
    <w:rsid w:val="001035C9"/>
    <w:rsid w:val="00103EEF"/>
    <w:rsid w:val="001052B6"/>
    <w:rsid w:val="0010537A"/>
    <w:rsid w:val="00105AD5"/>
    <w:rsid w:val="00106521"/>
    <w:rsid w:val="00110B70"/>
    <w:rsid w:val="00110C33"/>
    <w:rsid w:val="00112AC2"/>
    <w:rsid w:val="00113178"/>
    <w:rsid w:val="00114903"/>
    <w:rsid w:val="00116870"/>
    <w:rsid w:val="001171B5"/>
    <w:rsid w:val="00121136"/>
    <w:rsid w:val="001237B4"/>
    <w:rsid w:val="00124DBB"/>
    <w:rsid w:val="00124F91"/>
    <w:rsid w:val="00125443"/>
    <w:rsid w:val="001266AF"/>
    <w:rsid w:val="001335DD"/>
    <w:rsid w:val="00133690"/>
    <w:rsid w:val="0013432D"/>
    <w:rsid w:val="00134BED"/>
    <w:rsid w:val="00135054"/>
    <w:rsid w:val="001359A8"/>
    <w:rsid w:val="00136557"/>
    <w:rsid w:val="00136BCC"/>
    <w:rsid w:val="00140606"/>
    <w:rsid w:val="00140C48"/>
    <w:rsid w:val="00143973"/>
    <w:rsid w:val="00143E91"/>
    <w:rsid w:val="00143F0A"/>
    <w:rsid w:val="00146A49"/>
    <w:rsid w:val="001470DC"/>
    <w:rsid w:val="001478E7"/>
    <w:rsid w:val="00151E1B"/>
    <w:rsid w:val="0015452D"/>
    <w:rsid w:val="00155257"/>
    <w:rsid w:val="001557DB"/>
    <w:rsid w:val="0015735F"/>
    <w:rsid w:val="001574BC"/>
    <w:rsid w:val="001608AE"/>
    <w:rsid w:val="00160E33"/>
    <w:rsid w:val="00161CDC"/>
    <w:rsid w:val="0016229F"/>
    <w:rsid w:val="00162DBF"/>
    <w:rsid w:val="00163B55"/>
    <w:rsid w:val="00163FC9"/>
    <w:rsid w:val="00164AA8"/>
    <w:rsid w:val="00167DA8"/>
    <w:rsid w:val="00170C6F"/>
    <w:rsid w:val="0017217B"/>
    <w:rsid w:val="0017230C"/>
    <w:rsid w:val="00172574"/>
    <w:rsid w:val="00173A4E"/>
    <w:rsid w:val="00174495"/>
    <w:rsid w:val="00174C67"/>
    <w:rsid w:val="001755B0"/>
    <w:rsid w:val="0017573C"/>
    <w:rsid w:val="001764F1"/>
    <w:rsid w:val="0018003C"/>
    <w:rsid w:val="00180A52"/>
    <w:rsid w:val="00180BEF"/>
    <w:rsid w:val="001813BB"/>
    <w:rsid w:val="00182963"/>
    <w:rsid w:val="001835B6"/>
    <w:rsid w:val="00184946"/>
    <w:rsid w:val="00184A2A"/>
    <w:rsid w:val="00185062"/>
    <w:rsid w:val="00185572"/>
    <w:rsid w:val="001863AE"/>
    <w:rsid w:val="00186FD2"/>
    <w:rsid w:val="00187599"/>
    <w:rsid w:val="00187A11"/>
    <w:rsid w:val="00190CF3"/>
    <w:rsid w:val="00190D8F"/>
    <w:rsid w:val="00191BB6"/>
    <w:rsid w:val="00192C08"/>
    <w:rsid w:val="00196B74"/>
    <w:rsid w:val="0019705A"/>
    <w:rsid w:val="001971C0"/>
    <w:rsid w:val="00197999"/>
    <w:rsid w:val="001A1CAB"/>
    <w:rsid w:val="001A65AB"/>
    <w:rsid w:val="001A6DF7"/>
    <w:rsid w:val="001A7644"/>
    <w:rsid w:val="001B0086"/>
    <w:rsid w:val="001B2AB2"/>
    <w:rsid w:val="001B41E5"/>
    <w:rsid w:val="001B4CA4"/>
    <w:rsid w:val="001C1451"/>
    <w:rsid w:val="001C1EFA"/>
    <w:rsid w:val="001C2DE4"/>
    <w:rsid w:val="001C710A"/>
    <w:rsid w:val="001D0412"/>
    <w:rsid w:val="001D0FE1"/>
    <w:rsid w:val="001D30EB"/>
    <w:rsid w:val="001D6C6F"/>
    <w:rsid w:val="001E02C4"/>
    <w:rsid w:val="001E05AF"/>
    <w:rsid w:val="001E17E2"/>
    <w:rsid w:val="001E2055"/>
    <w:rsid w:val="001E32DB"/>
    <w:rsid w:val="001E4A66"/>
    <w:rsid w:val="001E58E0"/>
    <w:rsid w:val="001E6B5C"/>
    <w:rsid w:val="001E74CB"/>
    <w:rsid w:val="001F0D00"/>
    <w:rsid w:val="001F0D52"/>
    <w:rsid w:val="001F11D2"/>
    <w:rsid w:val="001F2568"/>
    <w:rsid w:val="001F27EB"/>
    <w:rsid w:val="001F3E4F"/>
    <w:rsid w:val="001F6412"/>
    <w:rsid w:val="001F7A8F"/>
    <w:rsid w:val="001F7E7D"/>
    <w:rsid w:val="00200065"/>
    <w:rsid w:val="0020234E"/>
    <w:rsid w:val="002023FB"/>
    <w:rsid w:val="00203DBE"/>
    <w:rsid w:val="00204048"/>
    <w:rsid w:val="00204CB4"/>
    <w:rsid w:val="00205504"/>
    <w:rsid w:val="002104FD"/>
    <w:rsid w:val="002108E0"/>
    <w:rsid w:val="002114FD"/>
    <w:rsid w:val="00211531"/>
    <w:rsid w:val="00212FD8"/>
    <w:rsid w:val="00213909"/>
    <w:rsid w:val="00213B0C"/>
    <w:rsid w:val="0021438F"/>
    <w:rsid w:val="00214598"/>
    <w:rsid w:val="00217D2B"/>
    <w:rsid w:val="00217ED3"/>
    <w:rsid w:val="00217FDC"/>
    <w:rsid w:val="0022078F"/>
    <w:rsid w:val="002207C4"/>
    <w:rsid w:val="00221F0B"/>
    <w:rsid w:val="00222C22"/>
    <w:rsid w:val="002248CD"/>
    <w:rsid w:val="002252BD"/>
    <w:rsid w:val="002264B9"/>
    <w:rsid w:val="0022773A"/>
    <w:rsid w:val="002277D6"/>
    <w:rsid w:val="00227D68"/>
    <w:rsid w:val="002307BB"/>
    <w:rsid w:val="002312A9"/>
    <w:rsid w:val="00231595"/>
    <w:rsid w:val="00231AD4"/>
    <w:rsid w:val="0023304B"/>
    <w:rsid w:val="00233FCA"/>
    <w:rsid w:val="002357CD"/>
    <w:rsid w:val="0023665D"/>
    <w:rsid w:val="00237B30"/>
    <w:rsid w:val="00237CFE"/>
    <w:rsid w:val="00237F6C"/>
    <w:rsid w:val="00245D6F"/>
    <w:rsid w:val="0024622E"/>
    <w:rsid w:val="00250375"/>
    <w:rsid w:val="00250EA7"/>
    <w:rsid w:val="00252AA6"/>
    <w:rsid w:val="00252D3C"/>
    <w:rsid w:val="0025335D"/>
    <w:rsid w:val="00254564"/>
    <w:rsid w:val="00254645"/>
    <w:rsid w:val="0025494F"/>
    <w:rsid w:val="00254AC9"/>
    <w:rsid w:val="00254BD4"/>
    <w:rsid w:val="0025662D"/>
    <w:rsid w:val="002603F2"/>
    <w:rsid w:val="002630E8"/>
    <w:rsid w:val="002645DD"/>
    <w:rsid w:val="0026576C"/>
    <w:rsid w:val="00265CE1"/>
    <w:rsid w:val="00267137"/>
    <w:rsid w:val="002671AC"/>
    <w:rsid w:val="00267203"/>
    <w:rsid w:val="00270421"/>
    <w:rsid w:val="00272409"/>
    <w:rsid w:val="00275BFA"/>
    <w:rsid w:val="00275CD1"/>
    <w:rsid w:val="002768E8"/>
    <w:rsid w:val="002779E4"/>
    <w:rsid w:val="00280181"/>
    <w:rsid w:val="00280965"/>
    <w:rsid w:val="002826C8"/>
    <w:rsid w:val="0028270F"/>
    <w:rsid w:val="00284978"/>
    <w:rsid w:val="00284B5D"/>
    <w:rsid w:val="00284C0C"/>
    <w:rsid w:val="002863D0"/>
    <w:rsid w:val="00286863"/>
    <w:rsid w:val="002900A9"/>
    <w:rsid w:val="00290DF3"/>
    <w:rsid w:val="00291ED4"/>
    <w:rsid w:val="0029239B"/>
    <w:rsid w:val="00294531"/>
    <w:rsid w:val="00295395"/>
    <w:rsid w:val="002966AF"/>
    <w:rsid w:val="00297BF0"/>
    <w:rsid w:val="002A03ED"/>
    <w:rsid w:val="002A4466"/>
    <w:rsid w:val="002A4694"/>
    <w:rsid w:val="002A66D1"/>
    <w:rsid w:val="002B2158"/>
    <w:rsid w:val="002B2B51"/>
    <w:rsid w:val="002B68BC"/>
    <w:rsid w:val="002B6E44"/>
    <w:rsid w:val="002C0597"/>
    <w:rsid w:val="002C259C"/>
    <w:rsid w:val="002C319A"/>
    <w:rsid w:val="002C3D5F"/>
    <w:rsid w:val="002C414C"/>
    <w:rsid w:val="002C62A1"/>
    <w:rsid w:val="002C7EBB"/>
    <w:rsid w:val="002D01E6"/>
    <w:rsid w:val="002D0A36"/>
    <w:rsid w:val="002D4892"/>
    <w:rsid w:val="002D5309"/>
    <w:rsid w:val="002D5583"/>
    <w:rsid w:val="002D5F7B"/>
    <w:rsid w:val="002E1030"/>
    <w:rsid w:val="002E249C"/>
    <w:rsid w:val="002E793F"/>
    <w:rsid w:val="002F0511"/>
    <w:rsid w:val="002F0622"/>
    <w:rsid w:val="002F0C8A"/>
    <w:rsid w:val="002F1026"/>
    <w:rsid w:val="002F196F"/>
    <w:rsid w:val="002F59FF"/>
    <w:rsid w:val="002F5E5D"/>
    <w:rsid w:val="002F720A"/>
    <w:rsid w:val="0030125D"/>
    <w:rsid w:val="003014DB"/>
    <w:rsid w:val="00303BC8"/>
    <w:rsid w:val="003053E9"/>
    <w:rsid w:val="00306AE0"/>
    <w:rsid w:val="00310824"/>
    <w:rsid w:val="00313D65"/>
    <w:rsid w:val="00315239"/>
    <w:rsid w:val="00315500"/>
    <w:rsid w:val="00316BEF"/>
    <w:rsid w:val="00317ECC"/>
    <w:rsid w:val="00320230"/>
    <w:rsid w:val="00321CA7"/>
    <w:rsid w:val="00326F1D"/>
    <w:rsid w:val="00332CC0"/>
    <w:rsid w:val="0033364A"/>
    <w:rsid w:val="00333E43"/>
    <w:rsid w:val="00333EA4"/>
    <w:rsid w:val="00334493"/>
    <w:rsid w:val="00334DFA"/>
    <w:rsid w:val="00335C2F"/>
    <w:rsid w:val="00335EB5"/>
    <w:rsid w:val="00335F8A"/>
    <w:rsid w:val="00336528"/>
    <w:rsid w:val="00336B39"/>
    <w:rsid w:val="003372D3"/>
    <w:rsid w:val="00337963"/>
    <w:rsid w:val="0034008B"/>
    <w:rsid w:val="00340BFE"/>
    <w:rsid w:val="00341562"/>
    <w:rsid w:val="00341755"/>
    <w:rsid w:val="003425F4"/>
    <w:rsid w:val="003428E9"/>
    <w:rsid w:val="00343017"/>
    <w:rsid w:val="0034363E"/>
    <w:rsid w:val="00343B55"/>
    <w:rsid w:val="00343DC1"/>
    <w:rsid w:val="0034463A"/>
    <w:rsid w:val="00345C09"/>
    <w:rsid w:val="00347CAE"/>
    <w:rsid w:val="00350C2D"/>
    <w:rsid w:val="00352C8B"/>
    <w:rsid w:val="00354D84"/>
    <w:rsid w:val="00355820"/>
    <w:rsid w:val="003558C2"/>
    <w:rsid w:val="00355C42"/>
    <w:rsid w:val="00355DD6"/>
    <w:rsid w:val="00356DB6"/>
    <w:rsid w:val="0035767F"/>
    <w:rsid w:val="00357CA8"/>
    <w:rsid w:val="0036016F"/>
    <w:rsid w:val="0036056A"/>
    <w:rsid w:val="00361637"/>
    <w:rsid w:val="00363C70"/>
    <w:rsid w:val="00364230"/>
    <w:rsid w:val="003651F5"/>
    <w:rsid w:val="003661DE"/>
    <w:rsid w:val="003715E6"/>
    <w:rsid w:val="00372EF1"/>
    <w:rsid w:val="00374B89"/>
    <w:rsid w:val="00377DA2"/>
    <w:rsid w:val="0038083E"/>
    <w:rsid w:val="00380B07"/>
    <w:rsid w:val="00384431"/>
    <w:rsid w:val="00391531"/>
    <w:rsid w:val="003920EE"/>
    <w:rsid w:val="00392700"/>
    <w:rsid w:val="00392E3E"/>
    <w:rsid w:val="00393531"/>
    <w:rsid w:val="00393CE5"/>
    <w:rsid w:val="0039439E"/>
    <w:rsid w:val="003948C5"/>
    <w:rsid w:val="00394AB3"/>
    <w:rsid w:val="003A1123"/>
    <w:rsid w:val="003A2050"/>
    <w:rsid w:val="003A24C1"/>
    <w:rsid w:val="003A2EDE"/>
    <w:rsid w:val="003A4A4A"/>
    <w:rsid w:val="003A4C1F"/>
    <w:rsid w:val="003A4DD3"/>
    <w:rsid w:val="003A649E"/>
    <w:rsid w:val="003A7155"/>
    <w:rsid w:val="003B2593"/>
    <w:rsid w:val="003B3691"/>
    <w:rsid w:val="003B4FA7"/>
    <w:rsid w:val="003B5A65"/>
    <w:rsid w:val="003B649A"/>
    <w:rsid w:val="003B6722"/>
    <w:rsid w:val="003B6B7F"/>
    <w:rsid w:val="003B78D0"/>
    <w:rsid w:val="003B7C2F"/>
    <w:rsid w:val="003C249F"/>
    <w:rsid w:val="003C5117"/>
    <w:rsid w:val="003C73EB"/>
    <w:rsid w:val="003C7966"/>
    <w:rsid w:val="003D0681"/>
    <w:rsid w:val="003D2E8B"/>
    <w:rsid w:val="003D3EA8"/>
    <w:rsid w:val="003D6E16"/>
    <w:rsid w:val="003D7E13"/>
    <w:rsid w:val="003E1C8D"/>
    <w:rsid w:val="003E3AE6"/>
    <w:rsid w:val="003E3ED4"/>
    <w:rsid w:val="003E5245"/>
    <w:rsid w:val="003E5940"/>
    <w:rsid w:val="003E6440"/>
    <w:rsid w:val="003E6982"/>
    <w:rsid w:val="003E7051"/>
    <w:rsid w:val="003E7301"/>
    <w:rsid w:val="003E76AE"/>
    <w:rsid w:val="003F091B"/>
    <w:rsid w:val="003F1816"/>
    <w:rsid w:val="003F193C"/>
    <w:rsid w:val="003F22C2"/>
    <w:rsid w:val="003F31B2"/>
    <w:rsid w:val="003F3211"/>
    <w:rsid w:val="003F3316"/>
    <w:rsid w:val="003F3C76"/>
    <w:rsid w:val="003F40FA"/>
    <w:rsid w:val="003F4506"/>
    <w:rsid w:val="003F5C8A"/>
    <w:rsid w:val="003F7FE9"/>
    <w:rsid w:val="004017F8"/>
    <w:rsid w:val="004026DB"/>
    <w:rsid w:val="00403B4D"/>
    <w:rsid w:val="00404EB6"/>
    <w:rsid w:val="00405D4D"/>
    <w:rsid w:val="00406E18"/>
    <w:rsid w:val="00406ED7"/>
    <w:rsid w:val="00407BB2"/>
    <w:rsid w:val="004113AC"/>
    <w:rsid w:val="004119BE"/>
    <w:rsid w:val="0041238A"/>
    <w:rsid w:val="004124BC"/>
    <w:rsid w:val="004162C0"/>
    <w:rsid w:val="0041652D"/>
    <w:rsid w:val="004209BA"/>
    <w:rsid w:val="00423995"/>
    <w:rsid w:val="00425A00"/>
    <w:rsid w:val="00426648"/>
    <w:rsid w:val="004271EF"/>
    <w:rsid w:val="00427A9E"/>
    <w:rsid w:val="00430895"/>
    <w:rsid w:val="004327CE"/>
    <w:rsid w:val="0043519F"/>
    <w:rsid w:val="00440A65"/>
    <w:rsid w:val="00440CCE"/>
    <w:rsid w:val="00441E0B"/>
    <w:rsid w:val="004432AD"/>
    <w:rsid w:val="004436ED"/>
    <w:rsid w:val="00443DBD"/>
    <w:rsid w:val="00444D1B"/>
    <w:rsid w:val="00446397"/>
    <w:rsid w:val="00447ACF"/>
    <w:rsid w:val="00450305"/>
    <w:rsid w:val="004504E3"/>
    <w:rsid w:val="00450AE6"/>
    <w:rsid w:val="00451F05"/>
    <w:rsid w:val="00452663"/>
    <w:rsid w:val="004527F8"/>
    <w:rsid w:val="004534C0"/>
    <w:rsid w:val="004535EB"/>
    <w:rsid w:val="004548BD"/>
    <w:rsid w:val="00454D7C"/>
    <w:rsid w:val="00456402"/>
    <w:rsid w:val="00456A19"/>
    <w:rsid w:val="00461A83"/>
    <w:rsid w:val="00461B33"/>
    <w:rsid w:val="00462A6A"/>
    <w:rsid w:val="0046307A"/>
    <w:rsid w:val="00463D5F"/>
    <w:rsid w:val="00467207"/>
    <w:rsid w:val="00467C29"/>
    <w:rsid w:val="004703B1"/>
    <w:rsid w:val="00471AB1"/>
    <w:rsid w:val="00473F7D"/>
    <w:rsid w:val="0047400D"/>
    <w:rsid w:val="00475B42"/>
    <w:rsid w:val="00475BA5"/>
    <w:rsid w:val="00477BF5"/>
    <w:rsid w:val="00477F4A"/>
    <w:rsid w:val="00482DFA"/>
    <w:rsid w:val="00482EE1"/>
    <w:rsid w:val="004832CE"/>
    <w:rsid w:val="00483A03"/>
    <w:rsid w:val="00484CD1"/>
    <w:rsid w:val="0048511D"/>
    <w:rsid w:val="00486030"/>
    <w:rsid w:val="00486F9D"/>
    <w:rsid w:val="00487AF6"/>
    <w:rsid w:val="004904D5"/>
    <w:rsid w:val="00491892"/>
    <w:rsid w:val="004934D4"/>
    <w:rsid w:val="00495192"/>
    <w:rsid w:val="00495F38"/>
    <w:rsid w:val="004A05F3"/>
    <w:rsid w:val="004A7B50"/>
    <w:rsid w:val="004B072C"/>
    <w:rsid w:val="004B2F01"/>
    <w:rsid w:val="004B362D"/>
    <w:rsid w:val="004B45F0"/>
    <w:rsid w:val="004B4AA3"/>
    <w:rsid w:val="004B61FB"/>
    <w:rsid w:val="004B7B52"/>
    <w:rsid w:val="004B7BA4"/>
    <w:rsid w:val="004B7E1B"/>
    <w:rsid w:val="004C09F5"/>
    <w:rsid w:val="004C1156"/>
    <w:rsid w:val="004C1901"/>
    <w:rsid w:val="004C19E7"/>
    <w:rsid w:val="004C1E8C"/>
    <w:rsid w:val="004C3199"/>
    <w:rsid w:val="004C4B36"/>
    <w:rsid w:val="004C51D9"/>
    <w:rsid w:val="004C55D3"/>
    <w:rsid w:val="004C56B3"/>
    <w:rsid w:val="004C5DC5"/>
    <w:rsid w:val="004C6A16"/>
    <w:rsid w:val="004C6ECF"/>
    <w:rsid w:val="004D0953"/>
    <w:rsid w:val="004D1162"/>
    <w:rsid w:val="004D2021"/>
    <w:rsid w:val="004D42AD"/>
    <w:rsid w:val="004D5DB6"/>
    <w:rsid w:val="004D7044"/>
    <w:rsid w:val="004D7164"/>
    <w:rsid w:val="004D730F"/>
    <w:rsid w:val="004D7327"/>
    <w:rsid w:val="004D7466"/>
    <w:rsid w:val="004E13AF"/>
    <w:rsid w:val="004E2227"/>
    <w:rsid w:val="004E313D"/>
    <w:rsid w:val="004E415A"/>
    <w:rsid w:val="004E4998"/>
    <w:rsid w:val="004E57EF"/>
    <w:rsid w:val="004E7344"/>
    <w:rsid w:val="004E7CDF"/>
    <w:rsid w:val="004F19BB"/>
    <w:rsid w:val="004F297F"/>
    <w:rsid w:val="004F494D"/>
    <w:rsid w:val="004F5155"/>
    <w:rsid w:val="004F569D"/>
    <w:rsid w:val="004F5CB7"/>
    <w:rsid w:val="004F5E24"/>
    <w:rsid w:val="004F626A"/>
    <w:rsid w:val="004F7B1D"/>
    <w:rsid w:val="00501C0E"/>
    <w:rsid w:val="00501CF1"/>
    <w:rsid w:val="0050358B"/>
    <w:rsid w:val="005040B1"/>
    <w:rsid w:val="005042A0"/>
    <w:rsid w:val="005047C7"/>
    <w:rsid w:val="0050513E"/>
    <w:rsid w:val="00505D91"/>
    <w:rsid w:val="005063F9"/>
    <w:rsid w:val="00510162"/>
    <w:rsid w:val="00510FE0"/>
    <w:rsid w:val="00511740"/>
    <w:rsid w:val="005138AB"/>
    <w:rsid w:val="0051651C"/>
    <w:rsid w:val="0051775E"/>
    <w:rsid w:val="00517F96"/>
    <w:rsid w:val="00520C8C"/>
    <w:rsid w:val="00520E25"/>
    <w:rsid w:val="00522F9C"/>
    <w:rsid w:val="0052372E"/>
    <w:rsid w:val="00523EDF"/>
    <w:rsid w:val="005248EC"/>
    <w:rsid w:val="005256B4"/>
    <w:rsid w:val="00525937"/>
    <w:rsid w:val="00525E58"/>
    <w:rsid w:val="005270C4"/>
    <w:rsid w:val="00527F2F"/>
    <w:rsid w:val="005325C2"/>
    <w:rsid w:val="00532667"/>
    <w:rsid w:val="0053317D"/>
    <w:rsid w:val="00533F15"/>
    <w:rsid w:val="00534B2F"/>
    <w:rsid w:val="00535C2B"/>
    <w:rsid w:val="0053659A"/>
    <w:rsid w:val="00536A53"/>
    <w:rsid w:val="00536D33"/>
    <w:rsid w:val="00536E00"/>
    <w:rsid w:val="005377F9"/>
    <w:rsid w:val="00537CDE"/>
    <w:rsid w:val="005424AF"/>
    <w:rsid w:val="00543DB7"/>
    <w:rsid w:val="00544545"/>
    <w:rsid w:val="005449E3"/>
    <w:rsid w:val="005468A2"/>
    <w:rsid w:val="00546C4E"/>
    <w:rsid w:val="00546DD3"/>
    <w:rsid w:val="005476C4"/>
    <w:rsid w:val="00547CC9"/>
    <w:rsid w:val="00550D77"/>
    <w:rsid w:val="0055213E"/>
    <w:rsid w:val="005527F8"/>
    <w:rsid w:val="00552B5E"/>
    <w:rsid w:val="0055402D"/>
    <w:rsid w:val="00554EFC"/>
    <w:rsid w:val="00555831"/>
    <w:rsid w:val="0055588D"/>
    <w:rsid w:val="0055593F"/>
    <w:rsid w:val="00560664"/>
    <w:rsid w:val="00560C80"/>
    <w:rsid w:val="00563818"/>
    <w:rsid w:val="00564F08"/>
    <w:rsid w:val="00565D9E"/>
    <w:rsid w:val="00567A71"/>
    <w:rsid w:val="00571850"/>
    <w:rsid w:val="005723C4"/>
    <w:rsid w:val="00572897"/>
    <w:rsid w:val="005734A1"/>
    <w:rsid w:val="00575CB9"/>
    <w:rsid w:val="005772FC"/>
    <w:rsid w:val="00577D0C"/>
    <w:rsid w:val="00580253"/>
    <w:rsid w:val="005864AE"/>
    <w:rsid w:val="00586FE9"/>
    <w:rsid w:val="0059110B"/>
    <w:rsid w:val="00591346"/>
    <w:rsid w:val="005918EC"/>
    <w:rsid w:val="005920C4"/>
    <w:rsid w:val="00592232"/>
    <w:rsid w:val="00594A20"/>
    <w:rsid w:val="00594DEB"/>
    <w:rsid w:val="005A03FF"/>
    <w:rsid w:val="005A1EDC"/>
    <w:rsid w:val="005A2B55"/>
    <w:rsid w:val="005A321F"/>
    <w:rsid w:val="005A3482"/>
    <w:rsid w:val="005A44E8"/>
    <w:rsid w:val="005A4F92"/>
    <w:rsid w:val="005A603D"/>
    <w:rsid w:val="005A6D10"/>
    <w:rsid w:val="005A7CAC"/>
    <w:rsid w:val="005B0223"/>
    <w:rsid w:val="005B172D"/>
    <w:rsid w:val="005B2408"/>
    <w:rsid w:val="005B2720"/>
    <w:rsid w:val="005B30DF"/>
    <w:rsid w:val="005B4FFD"/>
    <w:rsid w:val="005B5355"/>
    <w:rsid w:val="005B68BD"/>
    <w:rsid w:val="005B76CD"/>
    <w:rsid w:val="005C0AF8"/>
    <w:rsid w:val="005C1327"/>
    <w:rsid w:val="005C24E1"/>
    <w:rsid w:val="005D446A"/>
    <w:rsid w:val="005D472E"/>
    <w:rsid w:val="005D4D4E"/>
    <w:rsid w:val="005D51A9"/>
    <w:rsid w:val="005D6171"/>
    <w:rsid w:val="005D64B5"/>
    <w:rsid w:val="005E0F53"/>
    <w:rsid w:val="005E21E0"/>
    <w:rsid w:val="005E3BDC"/>
    <w:rsid w:val="005E44E0"/>
    <w:rsid w:val="005E47A5"/>
    <w:rsid w:val="005E52A3"/>
    <w:rsid w:val="005E583E"/>
    <w:rsid w:val="005E6C11"/>
    <w:rsid w:val="005E7B18"/>
    <w:rsid w:val="005F1840"/>
    <w:rsid w:val="005F1B03"/>
    <w:rsid w:val="005F21AC"/>
    <w:rsid w:val="005F23A2"/>
    <w:rsid w:val="005F300F"/>
    <w:rsid w:val="005F3F6F"/>
    <w:rsid w:val="005F66EB"/>
    <w:rsid w:val="005F760B"/>
    <w:rsid w:val="005F7822"/>
    <w:rsid w:val="005F79D6"/>
    <w:rsid w:val="006015CF"/>
    <w:rsid w:val="00602CFE"/>
    <w:rsid w:val="0060743B"/>
    <w:rsid w:val="00611AB6"/>
    <w:rsid w:val="00611C04"/>
    <w:rsid w:val="00611E05"/>
    <w:rsid w:val="00612199"/>
    <w:rsid w:val="0061396E"/>
    <w:rsid w:val="00614AEA"/>
    <w:rsid w:val="0061588B"/>
    <w:rsid w:val="006161D3"/>
    <w:rsid w:val="0061664E"/>
    <w:rsid w:val="00616E9C"/>
    <w:rsid w:val="00617A6A"/>
    <w:rsid w:val="00620EAA"/>
    <w:rsid w:val="00621DBE"/>
    <w:rsid w:val="00622330"/>
    <w:rsid w:val="0062259A"/>
    <w:rsid w:val="00623FAB"/>
    <w:rsid w:val="00625BF7"/>
    <w:rsid w:val="00626BAB"/>
    <w:rsid w:val="00627373"/>
    <w:rsid w:val="006275A3"/>
    <w:rsid w:val="006277BA"/>
    <w:rsid w:val="0063026F"/>
    <w:rsid w:val="0063052B"/>
    <w:rsid w:val="00630C92"/>
    <w:rsid w:val="006323A6"/>
    <w:rsid w:val="00633D20"/>
    <w:rsid w:val="00636391"/>
    <w:rsid w:val="006363C5"/>
    <w:rsid w:val="006366D2"/>
    <w:rsid w:val="0063676E"/>
    <w:rsid w:val="0063678E"/>
    <w:rsid w:val="0064063A"/>
    <w:rsid w:val="006406D6"/>
    <w:rsid w:val="00640891"/>
    <w:rsid w:val="00641E8F"/>
    <w:rsid w:val="00642553"/>
    <w:rsid w:val="006425B9"/>
    <w:rsid w:val="006437E2"/>
    <w:rsid w:val="006442FC"/>
    <w:rsid w:val="0064528C"/>
    <w:rsid w:val="00646E6D"/>
    <w:rsid w:val="006505F7"/>
    <w:rsid w:val="00650B0F"/>
    <w:rsid w:val="006542C3"/>
    <w:rsid w:val="00654808"/>
    <w:rsid w:val="00654F0D"/>
    <w:rsid w:val="00655539"/>
    <w:rsid w:val="00655FFC"/>
    <w:rsid w:val="00660C73"/>
    <w:rsid w:val="00661558"/>
    <w:rsid w:val="00662354"/>
    <w:rsid w:val="0066332E"/>
    <w:rsid w:val="006635AD"/>
    <w:rsid w:val="0066474F"/>
    <w:rsid w:val="00665754"/>
    <w:rsid w:val="00670CC1"/>
    <w:rsid w:val="006716C3"/>
    <w:rsid w:val="006719B5"/>
    <w:rsid w:val="00671AD5"/>
    <w:rsid w:val="00672A0E"/>
    <w:rsid w:val="0067487C"/>
    <w:rsid w:val="00675020"/>
    <w:rsid w:val="0067751F"/>
    <w:rsid w:val="00677BBC"/>
    <w:rsid w:val="00680B74"/>
    <w:rsid w:val="00681680"/>
    <w:rsid w:val="006824B4"/>
    <w:rsid w:val="00682B79"/>
    <w:rsid w:val="00682F30"/>
    <w:rsid w:val="00683847"/>
    <w:rsid w:val="00684ED8"/>
    <w:rsid w:val="006851F7"/>
    <w:rsid w:val="00692F85"/>
    <w:rsid w:val="006937C0"/>
    <w:rsid w:val="006947C8"/>
    <w:rsid w:val="00694A7A"/>
    <w:rsid w:val="00695D3F"/>
    <w:rsid w:val="00696140"/>
    <w:rsid w:val="006979E4"/>
    <w:rsid w:val="006A049D"/>
    <w:rsid w:val="006A097A"/>
    <w:rsid w:val="006A1555"/>
    <w:rsid w:val="006A216E"/>
    <w:rsid w:val="006A2CDD"/>
    <w:rsid w:val="006A3509"/>
    <w:rsid w:val="006A446D"/>
    <w:rsid w:val="006A537F"/>
    <w:rsid w:val="006A6077"/>
    <w:rsid w:val="006A7643"/>
    <w:rsid w:val="006A7AFB"/>
    <w:rsid w:val="006B0FEE"/>
    <w:rsid w:val="006B11F5"/>
    <w:rsid w:val="006B1A8F"/>
    <w:rsid w:val="006B3EED"/>
    <w:rsid w:val="006B3FEF"/>
    <w:rsid w:val="006B467D"/>
    <w:rsid w:val="006B4747"/>
    <w:rsid w:val="006B569A"/>
    <w:rsid w:val="006B5E63"/>
    <w:rsid w:val="006B74BB"/>
    <w:rsid w:val="006B79ED"/>
    <w:rsid w:val="006B7EEC"/>
    <w:rsid w:val="006C0136"/>
    <w:rsid w:val="006C0463"/>
    <w:rsid w:val="006C10AC"/>
    <w:rsid w:val="006C12D3"/>
    <w:rsid w:val="006C1F92"/>
    <w:rsid w:val="006C27AC"/>
    <w:rsid w:val="006C36CE"/>
    <w:rsid w:val="006C4CE5"/>
    <w:rsid w:val="006C5B8D"/>
    <w:rsid w:val="006C6A32"/>
    <w:rsid w:val="006C70D2"/>
    <w:rsid w:val="006C78A6"/>
    <w:rsid w:val="006C790F"/>
    <w:rsid w:val="006D28B1"/>
    <w:rsid w:val="006D4678"/>
    <w:rsid w:val="006D6CCC"/>
    <w:rsid w:val="006E1AA1"/>
    <w:rsid w:val="006E1C59"/>
    <w:rsid w:val="006E310D"/>
    <w:rsid w:val="006E3E41"/>
    <w:rsid w:val="006E4045"/>
    <w:rsid w:val="006E5600"/>
    <w:rsid w:val="006E5748"/>
    <w:rsid w:val="006E599C"/>
    <w:rsid w:val="006E6FBC"/>
    <w:rsid w:val="006E7F48"/>
    <w:rsid w:val="006F0326"/>
    <w:rsid w:val="006F3340"/>
    <w:rsid w:val="006F4FB9"/>
    <w:rsid w:val="006F7D05"/>
    <w:rsid w:val="00702C23"/>
    <w:rsid w:val="00703147"/>
    <w:rsid w:val="00703B1D"/>
    <w:rsid w:val="00705900"/>
    <w:rsid w:val="00706ECE"/>
    <w:rsid w:val="0070764E"/>
    <w:rsid w:val="00710D67"/>
    <w:rsid w:val="00712224"/>
    <w:rsid w:val="007130DA"/>
    <w:rsid w:val="00713227"/>
    <w:rsid w:val="007137A7"/>
    <w:rsid w:val="007140EB"/>
    <w:rsid w:val="00715BE0"/>
    <w:rsid w:val="00715DEF"/>
    <w:rsid w:val="00716FFC"/>
    <w:rsid w:val="007174AE"/>
    <w:rsid w:val="0072401A"/>
    <w:rsid w:val="00724024"/>
    <w:rsid w:val="007243E1"/>
    <w:rsid w:val="00724889"/>
    <w:rsid w:val="00725E54"/>
    <w:rsid w:val="00725F2D"/>
    <w:rsid w:val="00726194"/>
    <w:rsid w:val="007265C7"/>
    <w:rsid w:val="00726FCA"/>
    <w:rsid w:val="0073153D"/>
    <w:rsid w:val="00731825"/>
    <w:rsid w:val="007323AF"/>
    <w:rsid w:val="00732767"/>
    <w:rsid w:val="00733DF4"/>
    <w:rsid w:val="007340FE"/>
    <w:rsid w:val="007370DE"/>
    <w:rsid w:val="00737108"/>
    <w:rsid w:val="00737146"/>
    <w:rsid w:val="0074065A"/>
    <w:rsid w:val="00741263"/>
    <w:rsid w:val="00741D9E"/>
    <w:rsid w:val="0074306C"/>
    <w:rsid w:val="00744CB7"/>
    <w:rsid w:val="0074552C"/>
    <w:rsid w:val="00745714"/>
    <w:rsid w:val="007461DD"/>
    <w:rsid w:val="00746E1B"/>
    <w:rsid w:val="00751AED"/>
    <w:rsid w:val="0075200A"/>
    <w:rsid w:val="007520AE"/>
    <w:rsid w:val="00754299"/>
    <w:rsid w:val="007545E5"/>
    <w:rsid w:val="007547E3"/>
    <w:rsid w:val="00757A79"/>
    <w:rsid w:val="00757BD7"/>
    <w:rsid w:val="00760942"/>
    <w:rsid w:val="00760AD5"/>
    <w:rsid w:val="00760B70"/>
    <w:rsid w:val="00764FA9"/>
    <w:rsid w:val="007703F5"/>
    <w:rsid w:val="0077118B"/>
    <w:rsid w:val="00771206"/>
    <w:rsid w:val="00771480"/>
    <w:rsid w:val="00771589"/>
    <w:rsid w:val="00771675"/>
    <w:rsid w:val="00771735"/>
    <w:rsid w:val="0077344D"/>
    <w:rsid w:val="00773771"/>
    <w:rsid w:val="00773EE7"/>
    <w:rsid w:val="00774CE1"/>
    <w:rsid w:val="00777C2C"/>
    <w:rsid w:val="00777FBE"/>
    <w:rsid w:val="00782131"/>
    <w:rsid w:val="00782B06"/>
    <w:rsid w:val="00784377"/>
    <w:rsid w:val="0078548F"/>
    <w:rsid w:val="00786F64"/>
    <w:rsid w:val="007871A0"/>
    <w:rsid w:val="007878FE"/>
    <w:rsid w:val="00787CCF"/>
    <w:rsid w:val="0079005D"/>
    <w:rsid w:val="00790813"/>
    <w:rsid w:val="007908B8"/>
    <w:rsid w:val="007937A7"/>
    <w:rsid w:val="00797FD1"/>
    <w:rsid w:val="007A06E3"/>
    <w:rsid w:val="007A0CBF"/>
    <w:rsid w:val="007A1181"/>
    <w:rsid w:val="007A2497"/>
    <w:rsid w:val="007A36C4"/>
    <w:rsid w:val="007A6E4C"/>
    <w:rsid w:val="007A76C6"/>
    <w:rsid w:val="007B0343"/>
    <w:rsid w:val="007B275C"/>
    <w:rsid w:val="007B4321"/>
    <w:rsid w:val="007B4475"/>
    <w:rsid w:val="007B4559"/>
    <w:rsid w:val="007B45F8"/>
    <w:rsid w:val="007B6EBF"/>
    <w:rsid w:val="007C1875"/>
    <w:rsid w:val="007C2050"/>
    <w:rsid w:val="007C251C"/>
    <w:rsid w:val="007C3727"/>
    <w:rsid w:val="007C4181"/>
    <w:rsid w:val="007C4732"/>
    <w:rsid w:val="007D297A"/>
    <w:rsid w:val="007D2D40"/>
    <w:rsid w:val="007D3E8D"/>
    <w:rsid w:val="007D5EFA"/>
    <w:rsid w:val="007D7056"/>
    <w:rsid w:val="007E065F"/>
    <w:rsid w:val="007E0F00"/>
    <w:rsid w:val="007E1701"/>
    <w:rsid w:val="007E2B30"/>
    <w:rsid w:val="007E314E"/>
    <w:rsid w:val="007E4B41"/>
    <w:rsid w:val="007F0FB0"/>
    <w:rsid w:val="007F1EFB"/>
    <w:rsid w:val="007F2AB9"/>
    <w:rsid w:val="007F2D4E"/>
    <w:rsid w:val="007F3280"/>
    <w:rsid w:val="007F48F1"/>
    <w:rsid w:val="007F4B16"/>
    <w:rsid w:val="007F66E6"/>
    <w:rsid w:val="007F675D"/>
    <w:rsid w:val="007F7164"/>
    <w:rsid w:val="007F75C1"/>
    <w:rsid w:val="008029E0"/>
    <w:rsid w:val="0080341C"/>
    <w:rsid w:val="00806BB0"/>
    <w:rsid w:val="008079C0"/>
    <w:rsid w:val="00807DD4"/>
    <w:rsid w:val="008111FC"/>
    <w:rsid w:val="008131D4"/>
    <w:rsid w:val="0081453E"/>
    <w:rsid w:val="00814E73"/>
    <w:rsid w:val="00817BB1"/>
    <w:rsid w:val="008210DB"/>
    <w:rsid w:val="008226B5"/>
    <w:rsid w:val="00822E41"/>
    <w:rsid w:val="00823F1A"/>
    <w:rsid w:val="008343AC"/>
    <w:rsid w:val="008357CC"/>
    <w:rsid w:val="00836265"/>
    <w:rsid w:val="00836FC8"/>
    <w:rsid w:val="008370B7"/>
    <w:rsid w:val="00837139"/>
    <w:rsid w:val="00837E97"/>
    <w:rsid w:val="00843FD0"/>
    <w:rsid w:val="008446BB"/>
    <w:rsid w:val="00844A8F"/>
    <w:rsid w:val="00844C5D"/>
    <w:rsid w:val="008455B7"/>
    <w:rsid w:val="008459C4"/>
    <w:rsid w:val="008467BB"/>
    <w:rsid w:val="008501D5"/>
    <w:rsid w:val="00850546"/>
    <w:rsid w:val="00850554"/>
    <w:rsid w:val="00856CC8"/>
    <w:rsid w:val="00861C03"/>
    <w:rsid w:val="00862789"/>
    <w:rsid w:val="00862DC9"/>
    <w:rsid w:val="00864CFE"/>
    <w:rsid w:val="008652A4"/>
    <w:rsid w:val="00865BC8"/>
    <w:rsid w:val="008670A6"/>
    <w:rsid w:val="00871B99"/>
    <w:rsid w:val="0087228F"/>
    <w:rsid w:val="008737E1"/>
    <w:rsid w:val="0087536B"/>
    <w:rsid w:val="00875559"/>
    <w:rsid w:val="0087599C"/>
    <w:rsid w:val="00876019"/>
    <w:rsid w:val="008767D1"/>
    <w:rsid w:val="00876AF2"/>
    <w:rsid w:val="008800C4"/>
    <w:rsid w:val="00881483"/>
    <w:rsid w:val="00882711"/>
    <w:rsid w:val="008848F5"/>
    <w:rsid w:val="008849A4"/>
    <w:rsid w:val="00884A80"/>
    <w:rsid w:val="00885627"/>
    <w:rsid w:val="00885A6E"/>
    <w:rsid w:val="00887964"/>
    <w:rsid w:val="0089176C"/>
    <w:rsid w:val="0089472A"/>
    <w:rsid w:val="00894EA8"/>
    <w:rsid w:val="008954A1"/>
    <w:rsid w:val="00895868"/>
    <w:rsid w:val="00897BD6"/>
    <w:rsid w:val="008A0357"/>
    <w:rsid w:val="008A2880"/>
    <w:rsid w:val="008A2F8E"/>
    <w:rsid w:val="008A4420"/>
    <w:rsid w:val="008A4C47"/>
    <w:rsid w:val="008A4DC3"/>
    <w:rsid w:val="008A5E8B"/>
    <w:rsid w:val="008A5EBA"/>
    <w:rsid w:val="008A61C8"/>
    <w:rsid w:val="008A6730"/>
    <w:rsid w:val="008A6AF2"/>
    <w:rsid w:val="008B0B13"/>
    <w:rsid w:val="008B0F71"/>
    <w:rsid w:val="008B1580"/>
    <w:rsid w:val="008B2318"/>
    <w:rsid w:val="008B2E04"/>
    <w:rsid w:val="008B30B5"/>
    <w:rsid w:val="008B3C6C"/>
    <w:rsid w:val="008B4F5B"/>
    <w:rsid w:val="008B67B8"/>
    <w:rsid w:val="008B7AC1"/>
    <w:rsid w:val="008C38ED"/>
    <w:rsid w:val="008C42BD"/>
    <w:rsid w:val="008C51CE"/>
    <w:rsid w:val="008C56D8"/>
    <w:rsid w:val="008C6386"/>
    <w:rsid w:val="008C6472"/>
    <w:rsid w:val="008D07E7"/>
    <w:rsid w:val="008D4635"/>
    <w:rsid w:val="008E44FE"/>
    <w:rsid w:val="008E4AF2"/>
    <w:rsid w:val="008E4F3D"/>
    <w:rsid w:val="008E55D3"/>
    <w:rsid w:val="008F054A"/>
    <w:rsid w:val="008F2234"/>
    <w:rsid w:val="008F23EF"/>
    <w:rsid w:val="008F28E7"/>
    <w:rsid w:val="008F2D5C"/>
    <w:rsid w:val="008F3F2D"/>
    <w:rsid w:val="008F40E2"/>
    <w:rsid w:val="008F411F"/>
    <w:rsid w:val="008F723F"/>
    <w:rsid w:val="00901B72"/>
    <w:rsid w:val="00902550"/>
    <w:rsid w:val="00903976"/>
    <w:rsid w:val="0090494F"/>
    <w:rsid w:val="00905510"/>
    <w:rsid w:val="009061B0"/>
    <w:rsid w:val="00906474"/>
    <w:rsid w:val="00906C04"/>
    <w:rsid w:val="009123CC"/>
    <w:rsid w:val="00913262"/>
    <w:rsid w:val="00913501"/>
    <w:rsid w:val="0091443D"/>
    <w:rsid w:val="0091444B"/>
    <w:rsid w:val="00914A95"/>
    <w:rsid w:val="00915280"/>
    <w:rsid w:val="00920317"/>
    <w:rsid w:val="009203E5"/>
    <w:rsid w:val="00920C89"/>
    <w:rsid w:val="00921702"/>
    <w:rsid w:val="00921B4F"/>
    <w:rsid w:val="009221D1"/>
    <w:rsid w:val="00925473"/>
    <w:rsid w:val="00925C26"/>
    <w:rsid w:val="009268FC"/>
    <w:rsid w:val="00926D3E"/>
    <w:rsid w:val="00927C93"/>
    <w:rsid w:val="009302B8"/>
    <w:rsid w:val="009327CB"/>
    <w:rsid w:val="00932869"/>
    <w:rsid w:val="00933767"/>
    <w:rsid w:val="009356B0"/>
    <w:rsid w:val="009406FE"/>
    <w:rsid w:val="0094215A"/>
    <w:rsid w:val="00942A8F"/>
    <w:rsid w:val="00942B9E"/>
    <w:rsid w:val="00943593"/>
    <w:rsid w:val="00943CFB"/>
    <w:rsid w:val="009442AB"/>
    <w:rsid w:val="00946F62"/>
    <w:rsid w:val="009475AB"/>
    <w:rsid w:val="009518DB"/>
    <w:rsid w:val="00953349"/>
    <w:rsid w:val="00953883"/>
    <w:rsid w:val="00954789"/>
    <w:rsid w:val="009550D3"/>
    <w:rsid w:val="00961100"/>
    <w:rsid w:val="00961265"/>
    <w:rsid w:val="00961C13"/>
    <w:rsid w:val="0096275C"/>
    <w:rsid w:val="0096305C"/>
    <w:rsid w:val="00963269"/>
    <w:rsid w:val="009636E7"/>
    <w:rsid w:val="0096535F"/>
    <w:rsid w:val="00966351"/>
    <w:rsid w:val="009673EB"/>
    <w:rsid w:val="0097010E"/>
    <w:rsid w:val="009728A8"/>
    <w:rsid w:val="009728D2"/>
    <w:rsid w:val="00973829"/>
    <w:rsid w:val="00973D91"/>
    <w:rsid w:val="00974216"/>
    <w:rsid w:val="009772BD"/>
    <w:rsid w:val="00977748"/>
    <w:rsid w:val="00983034"/>
    <w:rsid w:val="00983E02"/>
    <w:rsid w:val="00984E2B"/>
    <w:rsid w:val="00984FEE"/>
    <w:rsid w:val="0098555A"/>
    <w:rsid w:val="009912B5"/>
    <w:rsid w:val="00991AEA"/>
    <w:rsid w:val="00994744"/>
    <w:rsid w:val="00996234"/>
    <w:rsid w:val="009968CF"/>
    <w:rsid w:val="00996E24"/>
    <w:rsid w:val="00997215"/>
    <w:rsid w:val="00997A58"/>
    <w:rsid w:val="00997B26"/>
    <w:rsid w:val="00997CFC"/>
    <w:rsid w:val="00997F4F"/>
    <w:rsid w:val="009A004B"/>
    <w:rsid w:val="009A282C"/>
    <w:rsid w:val="009A483E"/>
    <w:rsid w:val="009A554D"/>
    <w:rsid w:val="009A580C"/>
    <w:rsid w:val="009B1DBC"/>
    <w:rsid w:val="009B2988"/>
    <w:rsid w:val="009B5F3F"/>
    <w:rsid w:val="009B6F7D"/>
    <w:rsid w:val="009B7221"/>
    <w:rsid w:val="009B7B93"/>
    <w:rsid w:val="009B7E8A"/>
    <w:rsid w:val="009C138D"/>
    <w:rsid w:val="009C25AF"/>
    <w:rsid w:val="009C306B"/>
    <w:rsid w:val="009C4195"/>
    <w:rsid w:val="009C6B54"/>
    <w:rsid w:val="009C7D42"/>
    <w:rsid w:val="009D0C17"/>
    <w:rsid w:val="009D0EA9"/>
    <w:rsid w:val="009D1C58"/>
    <w:rsid w:val="009D2698"/>
    <w:rsid w:val="009D2D0F"/>
    <w:rsid w:val="009D34E6"/>
    <w:rsid w:val="009D42A4"/>
    <w:rsid w:val="009D5394"/>
    <w:rsid w:val="009E1268"/>
    <w:rsid w:val="009E2861"/>
    <w:rsid w:val="009E4B0D"/>
    <w:rsid w:val="009E4BC0"/>
    <w:rsid w:val="009E4D0B"/>
    <w:rsid w:val="009E66B7"/>
    <w:rsid w:val="009E780A"/>
    <w:rsid w:val="009F24D0"/>
    <w:rsid w:val="009F27E2"/>
    <w:rsid w:val="009F567A"/>
    <w:rsid w:val="009F5ECF"/>
    <w:rsid w:val="009F6449"/>
    <w:rsid w:val="009F6963"/>
    <w:rsid w:val="009F6C4D"/>
    <w:rsid w:val="009F76A5"/>
    <w:rsid w:val="009F7BDA"/>
    <w:rsid w:val="00A002DC"/>
    <w:rsid w:val="00A00796"/>
    <w:rsid w:val="00A00A72"/>
    <w:rsid w:val="00A03038"/>
    <w:rsid w:val="00A043F2"/>
    <w:rsid w:val="00A048A9"/>
    <w:rsid w:val="00A05B04"/>
    <w:rsid w:val="00A06ACC"/>
    <w:rsid w:val="00A1066D"/>
    <w:rsid w:val="00A109EE"/>
    <w:rsid w:val="00A111DC"/>
    <w:rsid w:val="00A12780"/>
    <w:rsid w:val="00A12DBC"/>
    <w:rsid w:val="00A13649"/>
    <w:rsid w:val="00A152FD"/>
    <w:rsid w:val="00A16F70"/>
    <w:rsid w:val="00A176F5"/>
    <w:rsid w:val="00A177BD"/>
    <w:rsid w:val="00A17D3D"/>
    <w:rsid w:val="00A17F2E"/>
    <w:rsid w:val="00A21FF6"/>
    <w:rsid w:val="00A230FD"/>
    <w:rsid w:val="00A23BCC"/>
    <w:rsid w:val="00A25133"/>
    <w:rsid w:val="00A26719"/>
    <w:rsid w:val="00A26E53"/>
    <w:rsid w:val="00A30B73"/>
    <w:rsid w:val="00A30F89"/>
    <w:rsid w:val="00A32694"/>
    <w:rsid w:val="00A32936"/>
    <w:rsid w:val="00A3298C"/>
    <w:rsid w:val="00A334BA"/>
    <w:rsid w:val="00A3472A"/>
    <w:rsid w:val="00A36387"/>
    <w:rsid w:val="00A40558"/>
    <w:rsid w:val="00A40CA7"/>
    <w:rsid w:val="00A43EA5"/>
    <w:rsid w:val="00A4599F"/>
    <w:rsid w:val="00A45D1B"/>
    <w:rsid w:val="00A47F2A"/>
    <w:rsid w:val="00A50880"/>
    <w:rsid w:val="00A50CF3"/>
    <w:rsid w:val="00A53B66"/>
    <w:rsid w:val="00A54A1C"/>
    <w:rsid w:val="00A552BC"/>
    <w:rsid w:val="00A562CA"/>
    <w:rsid w:val="00A56632"/>
    <w:rsid w:val="00A60035"/>
    <w:rsid w:val="00A60267"/>
    <w:rsid w:val="00A615B8"/>
    <w:rsid w:val="00A61B2A"/>
    <w:rsid w:val="00A61EA4"/>
    <w:rsid w:val="00A650F9"/>
    <w:rsid w:val="00A66407"/>
    <w:rsid w:val="00A6653D"/>
    <w:rsid w:val="00A6709C"/>
    <w:rsid w:val="00A7099F"/>
    <w:rsid w:val="00A71EFA"/>
    <w:rsid w:val="00A72F88"/>
    <w:rsid w:val="00A75D8F"/>
    <w:rsid w:val="00A815E4"/>
    <w:rsid w:val="00A81BE1"/>
    <w:rsid w:val="00A846F6"/>
    <w:rsid w:val="00A87695"/>
    <w:rsid w:val="00A90541"/>
    <w:rsid w:val="00A910A7"/>
    <w:rsid w:val="00A9243D"/>
    <w:rsid w:val="00A92E33"/>
    <w:rsid w:val="00A941FA"/>
    <w:rsid w:val="00A952C4"/>
    <w:rsid w:val="00AA1003"/>
    <w:rsid w:val="00AA125F"/>
    <w:rsid w:val="00AA14B7"/>
    <w:rsid w:val="00AA178A"/>
    <w:rsid w:val="00AA3C45"/>
    <w:rsid w:val="00AA3F59"/>
    <w:rsid w:val="00AA61AC"/>
    <w:rsid w:val="00AA6205"/>
    <w:rsid w:val="00AB00B9"/>
    <w:rsid w:val="00AB13E1"/>
    <w:rsid w:val="00AB2929"/>
    <w:rsid w:val="00AB34B7"/>
    <w:rsid w:val="00AB39CA"/>
    <w:rsid w:val="00AB3BA5"/>
    <w:rsid w:val="00AB4CC4"/>
    <w:rsid w:val="00AB6F48"/>
    <w:rsid w:val="00AB716F"/>
    <w:rsid w:val="00AB7D01"/>
    <w:rsid w:val="00AC0259"/>
    <w:rsid w:val="00AC0330"/>
    <w:rsid w:val="00AC069C"/>
    <w:rsid w:val="00AC2091"/>
    <w:rsid w:val="00AC33EC"/>
    <w:rsid w:val="00AC481D"/>
    <w:rsid w:val="00AC495F"/>
    <w:rsid w:val="00AC5F5F"/>
    <w:rsid w:val="00AC6EA3"/>
    <w:rsid w:val="00AD22BC"/>
    <w:rsid w:val="00AD2FE0"/>
    <w:rsid w:val="00AD3217"/>
    <w:rsid w:val="00AD3771"/>
    <w:rsid w:val="00AD573F"/>
    <w:rsid w:val="00AD5DAC"/>
    <w:rsid w:val="00AD6A89"/>
    <w:rsid w:val="00AE0E06"/>
    <w:rsid w:val="00AE0F85"/>
    <w:rsid w:val="00AE110C"/>
    <w:rsid w:val="00AE20ED"/>
    <w:rsid w:val="00AE276E"/>
    <w:rsid w:val="00AE55E2"/>
    <w:rsid w:val="00AE5A62"/>
    <w:rsid w:val="00AE5A70"/>
    <w:rsid w:val="00AE67EB"/>
    <w:rsid w:val="00AE6B4A"/>
    <w:rsid w:val="00AE7005"/>
    <w:rsid w:val="00AF0DFA"/>
    <w:rsid w:val="00AF0F61"/>
    <w:rsid w:val="00AF1B52"/>
    <w:rsid w:val="00AF3E75"/>
    <w:rsid w:val="00AF6375"/>
    <w:rsid w:val="00B00361"/>
    <w:rsid w:val="00B00B85"/>
    <w:rsid w:val="00B0132B"/>
    <w:rsid w:val="00B01D2A"/>
    <w:rsid w:val="00B02109"/>
    <w:rsid w:val="00B023D1"/>
    <w:rsid w:val="00B026E0"/>
    <w:rsid w:val="00B04241"/>
    <w:rsid w:val="00B051AD"/>
    <w:rsid w:val="00B067F7"/>
    <w:rsid w:val="00B07942"/>
    <w:rsid w:val="00B106C4"/>
    <w:rsid w:val="00B10EB0"/>
    <w:rsid w:val="00B11337"/>
    <w:rsid w:val="00B12CFD"/>
    <w:rsid w:val="00B139D0"/>
    <w:rsid w:val="00B14AB9"/>
    <w:rsid w:val="00B16ECB"/>
    <w:rsid w:val="00B17AFB"/>
    <w:rsid w:val="00B201B6"/>
    <w:rsid w:val="00B204F8"/>
    <w:rsid w:val="00B20A6E"/>
    <w:rsid w:val="00B22A1A"/>
    <w:rsid w:val="00B24135"/>
    <w:rsid w:val="00B26C3F"/>
    <w:rsid w:val="00B2723D"/>
    <w:rsid w:val="00B30262"/>
    <w:rsid w:val="00B3063E"/>
    <w:rsid w:val="00B30849"/>
    <w:rsid w:val="00B32230"/>
    <w:rsid w:val="00B32D95"/>
    <w:rsid w:val="00B3370B"/>
    <w:rsid w:val="00B3585E"/>
    <w:rsid w:val="00B36669"/>
    <w:rsid w:val="00B36B7A"/>
    <w:rsid w:val="00B36BE9"/>
    <w:rsid w:val="00B407D7"/>
    <w:rsid w:val="00B40FE8"/>
    <w:rsid w:val="00B45185"/>
    <w:rsid w:val="00B45573"/>
    <w:rsid w:val="00B46123"/>
    <w:rsid w:val="00B46EC6"/>
    <w:rsid w:val="00B50603"/>
    <w:rsid w:val="00B51485"/>
    <w:rsid w:val="00B51F0C"/>
    <w:rsid w:val="00B52E60"/>
    <w:rsid w:val="00B56566"/>
    <w:rsid w:val="00B60956"/>
    <w:rsid w:val="00B62690"/>
    <w:rsid w:val="00B63966"/>
    <w:rsid w:val="00B63C93"/>
    <w:rsid w:val="00B66A64"/>
    <w:rsid w:val="00B707DE"/>
    <w:rsid w:val="00B70B0D"/>
    <w:rsid w:val="00B7161B"/>
    <w:rsid w:val="00B728F8"/>
    <w:rsid w:val="00B730FC"/>
    <w:rsid w:val="00B745CA"/>
    <w:rsid w:val="00B75E5B"/>
    <w:rsid w:val="00B85B55"/>
    <w:rsid w:val="00B91323"/>
    <w:rsid w:val="00B91FB0"/>
    <w:rsid w:val="00B9361F"/>
    <w:rsid w:val="00B93747"/>
    <w:rsid w:val="00B94358"/>
    <w:rsid w:val="00B94ED4"/>
    <w:rsid w:val="00B9643C"/>
    <w:rsid w:val="00B96E3A"/>
    <w:rsid w:val="00BA2113"/>
    <w:rsid w:val="00BA2C12"/>
    <w:rsid w:val="00BA49DB"/>
    <w:rsid w:val="00BA52DA"/>
    <w:rsid w:val="00BA779B"/>
    <w:rsid w:val="00BB1DDE"/>
    <w:rsid w:val="00BB2586"/>
    <w:rsid w:val="00BB3986"/>
    <w:rsid w:val="00BB3C6C"/>
    <w:rsid w:val="00BB418E"/>
    <w:rsid w:val="00BB4831"/>
    <w:rsid w:val="00BB6129"/>
    <w:rsid w:val="00BB6684"/>
    <w:rsid w:val="00BB7AAB"/>
    <w:rsid w:val="00BC045D"/>
    <w:rsid w:val="00BC0F32"/>
    <w:rsid w:val="00BC1508"/>
    <w:rsid w:val="00BC15E8"/>
    <w:rsid w:val="00BC2BB2"/>
    <w:rsid w:val="00BC38E1"/>
    <w:rsid w:val="00BC4388"/>
    <w:rsid w:val="00BC6920"/>
    <w:rsid w:val="00BC7772"/>
    <w:rsid w:val="00BD01EF"/>
    <w:rsid w:val="00BD0825"/>
    <w:rsid w:val="00BD0894"/>
    <w:rsid w:val="00BD1611"/>
    <w:rsid w:val="00BD3938"/>
    <w:rsid w:val="00BD3A2F"/>
    <w:rsid w:val="00BD3C9A"/>
    <w:rsid w:val="00BD45B5"/>
    <w:rsid w:val="00BD4977"/>
    <w:rsid w:val="00BD4E31"/>
    <w:rsid w:val="00BD4F49"/>
    <w:rsid w:val="00BD5461"/>
    <w:rsid w:val="00BD793B"/>
    <w:rsid w:val="00BD7A72"/>
    <w:rsid w:val="00BE03E0"/>
    <w:rsid w:val="00BE0C25"/>
    <w:rsid w:val="00BE1390"/>
    <w:rsid w:val="00BE287F"/>
    <w:rsid w:val="00BE29EC"/>
    <w:rsid w:val="00BE32A2"/>
    <w:rsid w:val="00BE390F"/>
    <w:rsid w:val="00BE4568"/>
    <w:rsid w:val="00BE5998"/>
    <w:rsid w:val="00BE68EA"/>
    <w:rsid w:val="00BE6B9D"/>
    <w:rsid w:val="00BF1316"/>
    <w:rsid w:val="00BF5B4B"/>
    <w:rsid w:val="00BF63A0"/>
    <w:rsid w:val="00BF64F2"/>
    <w:rsid w:val="00BF7655"/>
    <w:rsid w:val="00BF7B82"/>
    <w:rsid w:val="00C004B2"/>
    <w:rsid w:val="00C00B01"/>
    <w:rsid w:val="00C025F1"/>
    <w:rsid w:val="00C044D6"/>
    <w:rsid w:val="00C0542A"/>
    <w:rsid w:val="00C06A79"/>
    <w:rsid w:val="00C10AC5"/>
    <w:rsid w:val="00C10CC7"/>
    <w:rsid w:val="00C1246E"/>
    <w:rsid w:val="00C12B43"/>
    <w:rsid w:val="00C136E0"/>
    <w:rsid w:val="00C17012"/>
    <w:rsid w:val="00C211F3"/>
    <w:rsid w:val="00C2284B"/>
    <w:rsid w:val="00C23C4F"/>
    <w:rsid w:val="00C23ED7"/>
    <w:rsid w:val="00C2448D"/>
    <w:rsid w:val="00C24C00"/>
    <w:rsid w:val="00C25853"/>
    <w:rsid w:val="00C25FF2"/>
    <w:rsid w:val="00C27EBB"/>
    <w:rsid w:val="00C34F3B"/>
    <w:rsid w:val="00C35DF1"/>
    <w:rsid w:val="00C404C5"/>
    <w:rsid w:val="00C411BE"/>
    <w:rsid w:val="00C45497"/>
    <w:rsid w:val="00C4578E"/>
    <w:rsid w:val="00C47015"/>
    <w:rsid w:val="00C500BD"/>
    <w:rsid w:val="00C51226"/>
    <w:rsid w:val="00C5125D"/>
    <w:rsid w:val="00C528CD"/>
    <w:rsid w:val="00C5434F"/>
    <w:rsid w:val="00C5445B"/>
    <w:rsid w:val="00C5471B"/>
    <w:rsid w:val="00C56673"/>
    <w:rsid w:val="00C5778E"/>
    <w:rsid w:val="00C57AA7"/>
    <w:rsid w:val="00C63082"/>
    <w:rsid w:val="00C66BF5"/>
    <w:rsid w:val="00C671AE"/>
    <w:rsid w:val="00C67897"/>
    <w:rsid w:val="00C678A3"/>
    <w:rsid w:val="00C678FF"/>
    <w:rsid w:val="00C7007F"/>
    <w:rsid w:val="00C70440"/>
    <w:rsid w:val="00C71F2A"/>
    <w:rsid w:val="00C7335D"/>
    <w:rsid w:val="00C735F1"/>
    <w:rsid w:val="00C73E0D"/>
    <w:rsid w:val="00C74D5B"/>
    <w:rsid w:val="00C7663D"/>
    <w:rsid w:val="00C8260C"/>
    <w:rsid w:val="00C827E2"/>
    <w:rsid w:val="00C831F5"/>
    <w:rsid w:val="00C839EF"/>
    <w:rsid w:val="00C8474B"/>
    <w:rsid w:val="00C85B99"/>
    <w:rsid w:val="00C92DB0"/>
    <w:rsid w:val="00C934F4"/>
    <w:rsid w:val="00C9429C"/>
    <w:rsid w:val="00C9575B"/>
    <w:rsid w:val="00C96F90"/>
    <w:rsid w:val="00CA26CD"/>
    <w:rsid w:val="00CA2B8B"/>
    <w:rsid w:val="00CA3031"/>
    <w:rsid w:val="00CA325E"/>
    <w:rsid w:val="00CA354A"/>
    <w:rsid w:val="00CB06CD"/>
    <w:rsid w:val="00CB08C0"/>
    <w:rsid w:val="00CB1E6E"/>
    <w:rsid w:val="00CB1EC6"/>
    <w:rsid w:val="00CB24C7"/>
    <w:rsid w:val="00CB4147"/>
    <w:rsid w:val="00CB5A23"/>
    <w:rsid w:val="00CB71B7"/>
    <w:rsid w:val="00CB780F"/>
    <w:rsid w:val="00CB79CB"/>
    <w:rsid w:val="00CC1BD8"/>
    <w:rsid w:val="00CC546D"/>
    <w:rsid w:val="00CC5A26"/>
    <w:rsid w:val="00CC6C5D"/>
    <w:rsid w:val="00CD07C6"/>
    <w:rsid w:val="00CD0953"/>
    <w:rsid w:val="00CD26F2"/>
    <w:rsid w:val="00CD29D3"/>
    <w:rsid w:val="00CD2FEF"/>
    <w:rsid w:val="00CD30C5"/>
    <w:rsid w:val="00CD30D9"/>
    <w:rsid w:val="00CD35E6"/>
    <w:rsid w:val="00CD3639"/>
    <w:rsid w:val="00CD6BD1"/>
    <w:rsid w:val="00CE00E1"/>
    <w:rsid w:val="00CE7B8A"/>
    <w:rsid w:val="00CF0D4E"/>
    <w:rsid w:val="00CF26E6"/>
    <w:rsid w:val="00CF6D5F"/>
    <w:rsid w:val="00CF7602"/>
    <w:rsid w:val="00CF78E9"/>
    <w:rsid w:val="00D010A5"/>
    <w:rsid w:val="00D01C70"/>
    <w:rsid w:val="00D03BC6"/>
    <w:rsid w:val="00D041AA"/>
    <w:rsid w:val="00D04A37"/>
    <w:rsid w:val="00D052D1"/>
    <w:rsid w:val="00D069C5"/>
    <w:rsid w:val="00D06DD1"/>
    <w:rsid w:val="00D0791B"/>
    <w:rsid w:val="00D107AC"/>
    <w:rsid w:val="00D11078"/>
    <w:rsid w:val="00D1373D"/>
    <w:rsid w:val="00D1418C"/>
    <w:rsid w:val="00D1426E"/>
    <w:rsid w:val="00D16414"/>
    <w:rsid w:val="00D17320"/>
    <w:rsid w:val="00D17ABE"/>
    <w:rsid w:val="00D2170F"/>
    <w:rsid w:val="00D22487"/>
    <w:rsid w:val="00D240A1"/>
    <w:rsid w:val="00D24BDE"/>
    <w:rsid w:val="00D255DB"/>
    <w:rsid w:val="00D26F70"/>
    <w:rsid w:val="00D30330"/>
    <w:rsid w:val="00D32181"/>
    <w:rsid w:val="00D349B9"/>
    <w:rsid w:val="00D34F90"/>
    <w:rsid w:val="00D368E2"/>
    <w:rsid w:val="00D3725E"/>
    <w:rsid w:val="00D37721"/>
    <w:rsid w:val="00D40779"/>
    <w:rsid w:val="00D40AF3"/>
    <w:rsid w:val="00D45240"/>
    <w:rsid w:val="00D456FE"/>
    <w:rsid w:val="00D474FF"/>
    <w:rsid w:val="00D50F97"/>
    <w:rsid w:val="00D5169B"/>
    <w:rsid w:val="00D53D5B"/>
    <w:rsid w:val="00D55245"/>
    <w:rsid w:val="00D555F8"/>
    <w:rsid w:val="00D55A44"/>
    <w:rsid w:val="00D55AC2"/>
    <w:rsid w:val="00D57622"/>
    <w:rsid w:val="00D576B6"/>
    <w:rsid w:val="00D57BD7"/>
    <w:rsid w:val="00D63C12"/>
    <w:rsid w:val="00D6424C"/>
    <w:rsid w:val="00D6451B"/>
    <w:rsid w:val="00D65FB4"/>
    <w:rsid w:val="00D66679"/>
    <w:rsid w:val="00D6700F"/>
    <w:rsid w:val="00D67E5F"/>
    <w:rsid w:val="00D723CD"/>
    <w:rsid w:val="00D72968"/>
    <w:rsid w:val="00D72A0F"/>
    <w:rsid w:val="00D73D64"/>
    <w:rsid w:val="00D73DCD"/>
    <w:rsid w:val="00D75863"/>
    <w:rsid w:val="00D77408"/>
    <w:rsid w:val="00D77BF2"/>
    <w:rsid w:val="00D80B97"/>
    <w:rsid w:val="00D821C3"/>
    <w:rsid w:val="00D83399"/>
    <w:rsid w:val="00D9004A"/>
    <w:rsid w:val="00D95D7D"/>
    <w:rsid w:val="00D96152"/>
    <w:rsid w:val="00D97208"/>
    <w:rsid w:val="00D97F48"/>
    <w:rsid w:val="00DA2908"/>
    <w:rsid w:val="00DA290E"/>
    <w:rsid w:val="00DA2F7E"/>
    <w:rsid w:val="00DA2FD7"/>
    <w:rsid w:val="00DA6E02"/>
    <w:rsid w:val="00DB0869"/>
    <w:rsid w:val="00DB08AB"/>
    <w:rsid w:val="00DB0AE5"/>
    <w:rsid w:val="00DB1908"/>
    <w:rsid w:val="00DB1CF7"/>
    <w:rsid w:val="00DB2762"/>
    <w:rsid w:val="00DB2FF1"/>
    <w:rsid w:val="00DB4713"/>
    <w:rsid w:val="00DB6E17"/>
    <w:rsid w:val="00DC0954"/>
    <w:rsid w:val="00DC14B1"/>
    <w:rsid w:val="00DC2364"/>
    <w:rsid w:val="00DC25ED"/>
    <w:rsid w:val="00DC2DD9"/>
    <w:rsid w:val="00DC3012"/>
    <w:rsid w:val="00DC3122"/>
    <w:rsid w:val="00DC41AA"/>
    <w:rsid w:val="00DC42C0"/>
    <w:rsid w:val="00DC5A51"/>
    <w:rsid w:val="00DC6794"/>
    <w:rsid w:val="00DC697C"/>
    <w:rsid w:val="00DD3AAC"/>
    <w:rsid w:val="00DD6F3F"/>
    <w:rsid w:val="00DD7A6E"/>
    <w:rsid w:val="00DE0F1A"/>
    <w:rsid w:val="00DE1E0D"/>
    <w:rsid w:val="00DE26B3"/>
    <w:rsid w:val="00DE51D6"/>
    <w:rsid w:val="00DE63F4"/>
    <w:rsid w:val="00DE6C6D"/>
    <w:rsid w:val="00DE7986"/>
    <w:rsid w:val="00DF1378"/>
    <w:rsid w:val="00DF2122"/>
    <w:rsid w:val="00DF22A3"/>
    <w:rsid w:val="00DF3ADA"/>
    <w:rsid w:val="00DF6276"/>
    <w:rsid w:val="00DF75F5"/>
    <w:rsid w:val="00E00696"/>
    <w:rsid w:val="00E009D5"/>
    <w:rsid w:val="00E0226F"/>
    <w:rsid w:val="00E029F7"/>
    <w:rsid w:val="00E0311B"/>
    <w:rsid w:val="00E03D1E"/>
    <w:rsid w:val="00E04519"/>
    <w:rsid w:val="00E05081"/>
    <w:rsid w:val="00E0580E"/>
    <w:rsid w:val="00E06E3C"/>
    <w:rsid w:val="00E0710B"/>
    <w:rsid w:val="00E07AAE"/>
    <w:rsid w:val="00E11B16"/>
    <w:rsid w:val="00E13A34"/>
    <w:rsid w:val="00E14D94"/>
    <w:rsid w:val="00E151EA"/>
    <w:rsid w:val="00E15B8F"/>
    <w:rsid w:val="00E16831"/>
    <w:rsid w:val="00E175CB"/>
    <w:rsid w:val="00E20DA7"/>
    <w:rsid w:val="00E20E78"/>
    <w:rsid w:val="00E213BF"/>
    <w:rsid w:val="00E21559"/>
    <w:rsid w:val="00E2273F"/>
    <w:rsid w:val="00E2477F"/>
    <w:rsid w:val="00E24A47"/>
    <w:rsid w:val="00E24D20"/>
    <w:rsid w:val="00E25F44"/>
    <w:rsid w:val="00E264DA"/>
    <w:rsid w:val="00E275C5"/>
    <w:rsid w:val="00E31E93"/>
    <w:rsid w:val="00E32537"/>
    <w:rsid w:val="00E32DB0"/>
    <w:rsid w:val="00E336B3"/>
    <w:rsid w:val="00E337D7"/>
    <w:rsid w:val="00E33DF6"/>
    <w:rsid w:val="00E353AF"/>
    <w:rsid w:val="00E355C0"/>
    <w:rsid w:val="00E35E05"/>
    <w:rsid w:val="00E35F45"/>
    <w:rsid w:val="00E362E8"/>
    <w:rsid w:val="00E36FA9"/>
    <w:rsid w:val="00E4066F"/>
    <w:rsid w:val="00E40EBF"/>
    <w:rsid w:val="00E41C0D"/>
    <w:rsid w:val="00E45DFB"/>
    <w:rsid w:val="00E45FC4"/>
    <w:rsid w:val="00E46AFD"/>
    <w:rsid w:val="00E47E3D"/>
    <w:rsid w:val="00E5022D"/>
    <w:rsid w:val="00E5024C"/>
    <w:rsid w:val="00E520E8"/>
    <w:rsid w:val="00E529AE"/>
    <w:rsid w:val="00E5354D"/>
    <w:rsid w:val="00E53B9E"/>
    <w:rsid w:val="00E54258"/>
    <w:rsid w:val="00E5561C"/>
    <w:rsid w:val="00E5781D"/>
    <w:rsid w:val="00E57EC8"/>
    <w:rsid w:val="00E6175C"/>
    <w:rsid w:val="00E61F9F"/>
    <w:rsid w:val="00E62AF3"/>
    <w:rsid w:val="00E63B32"/>
    <w:rsid w:val="00E64543"/>
    <w:rsid w:val="00E64FE3"/>
    <w:rsid w:val="00E67120"/>
    <w:rsid w:val="00E71364"/>
    <w:rsid w:val="00E71E2B"/>
    <w:rsid w:val="00E73243"/>
    <w:rsid w:val="00E80C5D"/>
    <w:rsid w:val="00E815B7"/>
    <w:rsid w:val="00E81B5D"/>
    <w:rsid w:val="00E824DB"/>
    <w:rsid w:val="00E8484C"/>
    <w:rsid w:val="00E8497E"/>
    <w:rsid w:val="00E849E9"/>
    <w:rsid w:val="00E85DB9"/>
    <w:rsid w:val="00E87D1C"/>
    <w:rsid w:val="00E9243A"/>
    <w:rsid w:val="00E94079"/>
    <w:rsid w:val="00E96210"/>
    <w:rsid w:val="00E9742C"/>
    <w:rsid w:val="00EA048A"/>
    <w:rsid w:val="00EA0CD8"/>
    <w:rsid w:val="00EA1003"/>
    <w:rsid w:val="00EA3D5C"/>
    <w:rsid w:val="00EA41BD"/>
    <w:rsid w:val="00EA5226"/>
    <w:rsid w:val="00EA5ADA"/>
    <w:rsid w:val="00EA6213"/>
    <w:rsid w:val="00EA65C6"/>
    <w:rsid w:val="00EA7105"/>
    <w:rsid w:val="00EA722D"/>
    <w:rsid w:val="00EB0377"/>
    <w:rsid w:val="00EB1E3B"/>
    <w:rsid w:val="00EB2434"/>
    <w:rsid w:val="00EB2831"/>
    <w:rsid w:val="00EB5285"/>
    <w:rsid w:val="00EB5812"/>
    <w:rsid w:val="00EB5815"/>
    <w:rsid w:val="00EB7AAB"/>
    <w:rsid w:val="00EC0F36"/>
    <w:rsid w:val="00EC137E"/>
    <w:rsid w:val="00EC19AE"/>
    <w:rsid w:val="00EC1FAB"/>
    <w:rsid w:val="00EC3CF4"/>
    <w:rsid w:val="00EC4599"/>
    <w:rsid w:val="00EC6628"/>
    <w:rsid w:val="00EC706E"/>
    <w:rsid w:val="00EC707E"/>
    <w:rsid w:val="00EC7159"/>
    <w:rsid w:val="00ED02B2"/>
    <w:rsid w:val="00ED10BA"/>
    <w:rsid w:val="00ED1D25"/>
    <w:rsid w:val="00ED2EEB"/>
    <w:rsid w:val="00ED449F"/>
    <w:rsid w:val="00ED4507"/>
    <w:rsid w:val="00ED6CC2"/>
    <w:rsid w:val="00ED6D19"/>
    <w:rsid w:val="00EE46DE"/>
    <w:rsid w:val="00EE49E7"/>
    <w:rsid w:val="00EE629E"/>
    <w:rsid w:val="00EF074C"/>
    <w:rsid w:val="00EF249F"/>
    <w:rsid w:val="00EF2786"/>
    <w:rsid w:val="00EF4739"/>
    <w:rsid w:val="00EF7A60"/>
    <w:rsid w:val="00F006E5"/>
    <w:rsid w:val="00F034B4"/>
    <w:rsid w:val="00F115AA"/>
    <w:rsid w:val="00F13B83"/>
    <w:rsid w:val="00F1451D"/>
    <w:rsid w:val="00F147A9"/>
    <w:rsid w:val="00F172F5"/>
    <w:rsid w:val="00F20ABB"/>
    <w:rsid w:val="00F21C8E"/>
    <w:rsid w:val="00F22AB3"/>
    <w:rsid w:val="00F23237"/>
    <w:rsid w:val="00F242F8"/>
    <w:rsid w:val="00F2483E"/>
    <w:rsid w:val="00F2576B"/>
    <w:rsid w:val="00F25FC6"/>
    <w:rsid w:val="00F27DD1"/>
    <w:rsid w:val="00F32288"/>
    <w:rsid w:val="00F3312E"/>
    <w:rsid w:val="00F3372D"/>
    <w:rsid w:val="00F348D0"/>
    <w:rsid w:val="00F35DC3"/>
    <w:rsid w:val="00F37166"/>
    <w:rsid w:val="00F40C85"/>
    <w:rsid w:val="00F4128E"/>
    <w:rsid w:val="00F41643"/>
    <w:rsid w:val="00F423BA"/>
    <w:rsid w:val="00F45FCA"/>
    <w:rsid w:val="00F46219"/>
    <w:rsid w:val="00F478EF"/>
    <w:rsid w:val="00F47CA8"/>
    <w:rsid w:val="00F54215"/>
    <w:rsid w:val="00F54EA3"/>
    <w:rsid w:val="00F55349"/>
    <w:rsid w:val="00F5604F"/>
    <w:rsid w:val="00F561B7"/>
    <w:rsid w:val="00F62733"/>
    <w:rsid w:val="00F62B53"/>
    <w:rsid w:val="00F62F19"/>
    <w:rsid w:val="00F63E3C"/>
    <w:rsid w:val="00F64536"/>
    <w:rsid w:val="00F64B21"/>
    <w:rsid w:val="00F64B8C"/>
    <w:rsid w:val="00F65E4E"/>
    <w:rsid w:val="00F661FF"/>
    <w:rsid w:val="00F66410"/>
    <w:rsid w:val="00F66427"/>
    <w:rsid w:val="00F67129"/>
    <w:rsid w:val="00F6787F"/>
    <w:rsid w:val="00F7033E"/>
    <w:rsid w:val="00F70511"/>
    <w:rsid w:val="00F71EAC"/>
    <w:rsid w:val="00F72FB9"/>
    <w:rsid w:val="00F732C8"/>
    <w:rsid w:val="00F75165"/>
    <w:rsid w:val="00F8003A"/>
    <w:rsid w:val="00F80D10"/>
    <w:rsid w:val="00F80FEE"/>
    <w:rsid w:val="00F81E9B"/>
    <w:rsid w:val="00F8307C"/>
    <w:rsid w:val="00F838AE"/>
    <w:rsid w:val="00F83C6A"/>
    <w:rsid w:val="00F84E1E"/>
    <w:rsid w:val="00F87AA5"/>
    <w:rsid w:val="00F90A1C"/>
    <w:rsid w:val="00F947B0"/>
    <w:rsid w:val="00F953FF"/>
    <w:rsid w:val="00F97240"/>
    <w:rsid w:val="00FA0245"/>
    <w:rsid w:val="00FA0A05"/>
    <w:rsid w:val="00FA11F9"/>
    <w:rsid w:val="00FA1E49"/>
    <w:rsid w:val="00FA1E59"/>
    <w:rsid w:val="00FA25C2"/>
    <w:rsid w:val="00FA69B2"/>
    <w:rsid w:val="00FA7641"/>
    <w:rsid w:val="00FB067B"/>
    <w:rsid w:val="00FB0820"/>
    <w:rsid w:val="00FB1143"/>
    <w:rsid w:val="00FB234A"/>
    <w:rsid w:val="00FB34ED"/>
    <w:rsid w:val="00FB4E91"/>
    <w:rsid w:val="00FB4F39"/>
    <w:rsid w:val="00FB5276"/>
    <w:rsid w:val="00FB7B22"/>
    <w:rsid w:val="00FC1692"/>
    <w:rsid w:val="00FC16B7"/>
    <w:rsid w:val="00FC2815"/>
    <w:rsid w:val="00FC2C90"/>
    <w:rsid w:val="00FC3A3C"/>
    <w:rsid w:val="00FC4FD4"/>
    <w:rsid w:val="00FC6BBC"/>
    <w:rsid w:val="00FD06E1"/>
    <w:rsid w:val="00FD1ACC"/>
    <w:rsid w:val="00FD206D"/>
    <w:rsid w:val="00FD2D96"/>
    <w:rsid w:val="00FD4742"/>
    <w:rsid w:val="00FD4C3A"/>
    <w:rsid w:val="00FD51E4"/>
    <w:rsid w:val="00FD59D3"/>
    <w:rsid w:val="00FD5E33"/>
    <w:rsid w:val="00FD638E"/>
    <w:rsid w:val="00FD72B9"/>
    <w:rsid w:val="00FD774A"/>
    <w:rsid w:val="00FE0323"/>
    <w:rsid w:val="00FE263B"/>
    <w:rsid w:val="00FE685D"/>
    <w:rsid w:val="00FE6BD8"/>
    <w:rsid w:val="00FE7959"/>
    <w:rsid w:val="00FF0720"/>
    <w:rsid w:val="00FF3132"/>
    <w:rsid w:val="00FF338E"/>
    <w:rsid w:val="00FF368F"/>
    <w:rsid w:val="00FF3B1A"/>
    <w:rsid w:val="00FF7FF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A84979"/>
  <w15:chartTrackingRefBased/>
  <w15:docId w15:val="{BF8D3A4B-79E3-477C-BC38-6F2EB82E9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764E"/>
    <w:pPr>
      <w:spacing w:after="0" w:line="240" w:lineRule="auto"/>
    </w:pPr>
    <w:rPr>
      <w:rFonts w:ascii="Times New Roman" w:eastAsia="Times New Roman" w:hAnsi="Times New Roman" w:cs="Times New Roman"/>
      <w:sz w:val="24"/>
      <w:szCs w:val="24"/>
      <w:lang w:eastAsia="es-ES_tradnl"/>
    </w:rPr>
  </w:style>
  <w:style w:type="paragraph" w:styleId="Ttulo1">
    <w:name w:val="heading 1"/>
    <w:basedOn w:val="Normal"/>
    <w:next w:val="Normal"/>
    <w:link w:val="Ttulo1Car"/>
    <w:uiPriority w:val="9"/>
    <w:qFormat/>
    <w:rsid w:val="0070764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70764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70764E"/>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iPriority w:val="9"/>
    <w:unhideWhenUsed/>
    <w:qFormat/>
    <w:rsid w:val="0070764E"/>
    <w:pPr>
      <w:keepNext/>
      <w:keepLines/>
      <w:spacing w:before="4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unhideWhenUsed/>
    <w:qFormat/>
    <w:rsid w:val="0070764E"/>
    <w:pPr>
      <w:keepNext/>
      <w:keepLines/>
      <w:spacing w:before="40"/>
      <w:outlineLvl w:val="4"/>
    </w:pPr>
    <w:rPr>
      <w:rFonts w:asciiTheme="majorHAnsi" w:eastAsiaTheme="majorEastAsia" w:hAnsiTheme="majorHAnsi" w:cstheme="majorBidi"/>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0764E"/>
    <w:rPr>
      <w:rFonts w:asciiTheme="majorHAnsi" w:eastAsiaTheme="majorEastAsia" w:hAnsiTheme="majorHAnsi" w:cstheme="majorBidi"/>
      <w:color w:val="2F5496" w:themeColor="accent1" w:themeShade="BF"/>
      <w:sz w:val="32"/>
      <w:szCs w:val="32"/>
      <w:lang w:eastAsia="es-ES_tradnl"/>
    </w:rPr>
  </w:style>
  <w:style w:type="character" w:customStyle="1" w:styleId="Ttulo2Car">
    <w:name w:val="Título 2 Car"/>
    <w:basedOn w:val="Fuentedeprrafopredeter"/>
    <w:link w:val="Ttulo2"/>
    <w:uiPriority w:val="9"/>
    <w:rsid w:val="0070764E"/>
    <w:rPr>
      <w:rFonts w:asciiTheme="majorHAnsi" w:eastAsiaTheme="majorEastAsia" w:hAnsiTheme="majorHAnsi" w:cstheme="majorBidi"/>
      <w:color w:val="2F5496" w:themeColor="accent1" w:themeShade="BF"/>
      <w:sz w:val="26"/>
      <w:szCs w:val="26"/>
      <w:lang w:eastAsia="es-ES_tradnl"/>
    </w:rPr>
  </w:style>
  <w:style w:type="character" w:customStyle="1" w:styleId="Ttulo3Car">
    <w:name w:val="Título 3 Car"/>
    <w:basedOn w:val="Fuentedeprrafopredeter"/>
    <w:link w:val="Ttulo3"/>
    <w:uiPriority w:val="9"/>
    <w:rsid w:val="0070764E"/>
    <w:rPr>
      <w:rFonts w:asciiTheme="majorHAnsi" w:eastAsiaTheme="majorEastAsia" w:hAnsiTheme="majorHAnsi" w:cstheme="majorBidi"/>
      <w:color w:val="1F3763" w:themeColor="accent1" w:themeShade="7F"/>
      <w:sz w:val="24"/>
      <w:szCs w:val="24"/>
      <w:lang w:eastAsia="es-ES_tradnl"/>
    </w:rPr>
  </w:style>
  <w:style w:type="character" w:customStyle="1" w:styleId="Ttulo4Car">
    <w:name w:val="Título 4 Car"/>
    <w:basedOn w:val="Fuentedeprrafopredeter"/>
    <w:link w:val="Ttulo4"/>
    <w:uiPriority w:val="9"/>
    <w:rsid w:val="0070764E"/>
    <w:rPr>
      <w:rFonts w:asciiTheme="majorHAnsi" w:eastAsiaTheme="majorEastAsia" w:hAnsiTheme="majorHAnsi" w:cstheme="majorBidi"/>
      <w:i/>
      <w:iCs/>
      <w:color w:val="2F5496" w:themeColor="accent1" w:themeShade="BF"/>
      <w:sz w:val="24"/>
      <w:szCs w:val="24"/>
      <w:lang w:eastAsia="es-ES_tradnl"/>
    </w:rPr>
  </w:style>
  <w:style w:type="character" w:customStyle="1" w:styleId="Ttulo5Car">
    <w:name w:val="Título 5 Car"/>
    <w:basedOn w:val="Fuentedeprrafopredeter"/>
    <w:link w:val="Ttulo5"/>
    <w:uiPriority w:val="9"/>
    <w:rsid w:val="0070764E"/>
    <w:rPr>
      <w:rFonts w:asciiTheme="majorHAnsi" w:eastAsiaTheme="majorEastAsia" w:hAnsiTheme="majorHAnsi" w:cstheme="majorBidi"/>
      <w:color w:val="2F5496" w:themeColor="accent1" w:themeShade="BF"/>
      <w:sz w:val="24"/>
      <w:szCs w:val="24"/>
      <w:lang w:eastAsia="es-ES_tradnl"/>
    </w:rPr>
  </w:style>
  <w:style w:type="paragraph" w:styleId="Encabezado">
    <w:name w:val="header"/>
    <w:basedOn w:val="Normal"/>
    <w:link w:val="EncabezadoCar"/>
    <w:unhideWhenUsed/>
    <w:rsid w:val="0070764E"/>
    <w:pPr>
      <w:tabs>
        <w:tab w:val="center" w:pos="4419"/>
        <w:tab w:val="right" w:pos="8838"/>
      </w:tabs>
    </w:pPr>
  </w:style>
  <w:style w:type="character" w:customStyle="1" w:styleId="EncabezadoCar">
    <w:name w:val="Encabezado Car"/>
    <w:basedOn w:val="Fuentedeprrafopredeter"/>
    <w:link w:val="Encabezado"/>
    <w:rsid w:val="0070764E"/>
    <w:rPr>
      <w:rFonts w:ascii="Times New Roman" w:eastAsia="Times New Roman" w:hAnsi="Times New Roman" w:cs="Times New Roman"/>
      <w:sz w:val="24"/>
      <w:szCs w:val="24"/>
      <w:lang w:eastAsia="es-ES_tradnl"/>
    </w:rPr>
  </w:style>
  <w:style w:type="paragraph" w:styleId="Piedepgina">
    <w:name w:val="footer"/>
    <w:basedOn w:val="Normal"/>
    <w:link w:val="PiedepginaCar"/>
    <w:uiPriority w:val="99"/>
    <w:unhideWhenUsed/>
    <w:rsid w:val="0070764E"/>
    <w:pPr>
      <w:tabs>
        <w:tab w:val="center" w:pos="4419"/>
        <w:tab w:val="right" w:pos="8838"/>
      </w:tabs>
    </w:pPr>
  </w:style>
  <w:style w:type="character" w:customStyle="1" w:styleId="PiedepginaCar">
    <w:name w:val="Pie de página Car"/>
    <w:basedOn w:val="Fuentedeprrafopredeter"/>
    <w:link w:val="Piedepgina"/>
    <w:uiPriority w:val="99"/>
    <w:rsid w:val="0070764E"/>
    <w:rPr>
      <w:rFonts w:ascii="Times New Roman" w:eastAsia="Times New Roman" w:hAnsi="Times New Roman" w:cs="Times New Roman"/>
      <w:sz w:val="24"/>
      <w:szCs w:val="24"/>
      <w:lang w:eastAsia="es-ES_tradnl"/>
    </w:rPr>
  </w:style>
  <w:style w:type="paragraph" w:styleId="Prrafodelista">
    <w:name w:val="List Paragraph"/>
    <w:aliases w:val="Ha,Segundo nivel de viñetas,Normal. Viñetas,Título de Diagrama,Bolita,Párrafo de lista21,Párrafo de lista4,Párrafo de lista5,VIÑETA,titulo 3,Lista vistosa - Énfasis 11,Dot pt,No Spacing1,List Paragraph Char Char Char,HOJA,Indicator Text"/>
    <w:basedOn w:val="Normal"/>
    <w:link w:val="PrrafodelistaCar"/>
    <w:uiPriority w:val="34"/>
    <w:qFormat/>
    <w:rsid w:val="0070764E"/>
    <w:pPr>
      <w:ind w:left="720"/>
      <w:contextualSpacing/>
    </w:pPr>
  </w:style>
  <w:style w:type="character" w:customStyle="1" w:styleId="PrrafodelistaCar">
    <w:name w:val="Párrafo de lista Car"/>
    <w:aliases w:val="Ha Car,Segundo nivel de viñetas Car,Normal. Viñetas Car,Título de Diagrama Car,Bolita Car,Párrafo de lista21 Car,Párrafo de lista4 Car,Párrafo de lista5 Car,VIÑETA Car,titulo 3 Car,Lista vistosa - Énfasis 11 Car,Dot pt Car,HOJA Car"/>
    <w:link w:val="Prrafodelista"/>
    <w:uiPriority w:val="34"/>
    <w:qFormat/>
    <w:locked/>
    <w:rsid w:val="0070764E"/>
    <w:rPr>
      <w:rFonts w:ascii="Times New Roman" w:eastAsia="Times New Roman" w:hAnsi="Times New Roman" w:cs="Times New Roman"/>
      <w:sz w:val="24"/>
      <w:szCs w:val="24"/>
      <w:lang w:eastAsia="es-ES_tradnl"/>
    </w:rPr>
  </w:style>
  <w:style w:type="paragraph" w:customStyle="1" w:styleId="TableParagraph">
    <w:name w:val="Table Paragraph"/>
    <w:basedOn w:val="Normal"/>
    <w:uiPriority w:val="1"/>
    <w:qFormat/>
    <w:rsid w:val="0070764E"/>
    <w:pPr>
      <w:widowControl w:val="0"/>
      <w:autoSpaceDE w:val="0"/>
      <w:autoSpaceDN w:val="0"/>
      <w:spacing w:before="1"/>
    </w:pPr>
    <w:rPr>
      <w:rFonts w:ascii="Calibri" w:eastAsia="Calibri" w:hAnsi="Calibri" w:cs="Calibri"/>
      <w:sz w:val="22"/>
      <w:szCs w:val="22"/>
      <w:lang w:val="es-ES" w:eastAsia="es-ES" w:bidi="es-ES"/>
    </w:rPr>
  </w:style>
  <w:style w:type="paragraph" w:styleId="Textoindependiente">
    <w:name w:val="Body Text"/>
    <w:basedOn w:val="Normal"/>
    <w:link w:val="TextoindependienteCar"/>
    <w:uiPriority w:val="1"/>
    <w:qFormat/>
    <w:rsid w:val="0070764E"/>
    <w:pPr>
      <w:widowControl w:val="0"/>
      <w:autoSpaceDE w:val="0"/>
      <w:autoSpaceDN w:val="0"/>
    </w:pPr>
    <w:rPr>
      <w:rFonts w:ascii="Calibri" w:eastAsia="Calibri" w:hAnsi="Calibri" w:cs="Calibri"/>
      <w:sz w:val="22"/>
      <w:szCs w:val="22"/>
      <w:lang w:val="es-ES" w:eastAsia="es-ES" w:bidi="es-ES"/>
    </w:rPr>
  </w:style>
  <w:style w:type="character" w:customStyle="1" w:styleId="TextoindependienteCar">
    <w:name w:val="Texto independiente Car"/>
    <w:basedOn w:val="Fuentedeprrafopredeter"/>
    <w:link w:val="Textoindependiente"/>
    <w:uiPriority w:val="1"/>
    <w:rsid w:val="0070764E"/>
    <w:rPr>
      <w:rFonts w:ascii="Calibri" w:eastAsia="Calibri" w:hAnsi="Calibri" w:cs="Calibri"/>
      <w:lang w:val="es-ES" w:eastAsia="es-ES" w:bidi="es-ES"/>
    </w:rPr>
  </w:style>
  <w:style w:type="paragraph" w:styleId="Textonotapie">
    <w:name w:val="footnote text"/>
    <w:basedOn w:val="Normal"/>
    <w:link w:val="TextonotapieCar"/>
    <w:unhideWhenUsed/>
    <w:rsid w:val="0070764E"/>
    <w:rPr>
      <w:sz w:val="20"/>
      <w:szCs w:val="20"/>
    </w:rPr>
  </w:style>
  <w:style w:type="character" w:customStyle="1" w:styleId="TextonotapieCar">
    <w:name w:val="Texto nota pie Car"/>
    <w:basedOn w:val="Fuentedeprrafopredeter"/>
    <w:link w:val="Textonotapie"/>
    <w:rsid w:val="0070764E"/>
    <w:rPr>
      <w:rFonts w:ascii="Times New Roman" w:eastAsia="Times New Roman" w:hAnsi="Times New Roman" w:cs="Times New Roman"/>
      <w:sz w:val="20"/>
      <w:szCs w:val="20"/>
      <w:lang w:eastAsia="es-ES_tradnl"/>
    </w:rPr>
  </w:style>
  <w:style w:type="character" w:styleId="Refdenotaalpie">
    <w:name w:val="footnote reference"/>
    <w:basedOn w:val="Fuentedeprrafopredeter"/>
    <w:unhideWhenUsed/>
    <w:rsid w:val="0070764E"/>
    <w:rPr>
      <w:vertAlign w:val="superscript"/>
    </w:rPr>
  </w:style>
  <w:style w:type="character" w:customStyle="1" w:styleId="TextodegloboCar">
    <w:name w:val="Texto de globo Car"/>
    <w:basedOn w:val="Fuentedeprrafopredeter"/>
    <w:link w:val="Textodeglobo"/>
    <w:uiPriority w:val="99"/>
    <w:semiHidden/>
    <w:rsid w:val="0070764E"/>
    <w:rPr>
      <w:rFonts w:ascii="Segoe UI" w:eastAsia="Times New Roman" w:hAnsi="Segoe UI" w:cs="Segoe UI"/>
      <w:sz w:val="18"/>
      <w:szCs w:val="18"/>
      <w:lang w:eastAsia="es-ES_tradnl"/>
    </w:rPr>
  </w:style>
  <w:style w:type="paragraph" w:styleId="Textodeglobo">
    <w:name w:val="Balloon Text"/>
    <w:basedOn w:val="Normal"/>
    <w:link w:val="TextodegloboCar"/>
    <w:uiPriority w:val="99"/>
    <w:semiHidden/>
    <w:unhideWhenUsed/>
    <w:rsid w:val="0070764E"/>
    <w:rPr>
      <w:rFonts w:ascii="Segoe UI" w:hAnsi="Segoe UI" w:cs="Segoe UI"/>
      <w:sz w:val="18"/>
      <w:szCs w:val="18"/>
    </w:rPr>
  </w:style>
  <w:style w:type="paragraph" w:customStyle="1" w:styleId="Default">
    <w:name w:val="Default"/>
    <w:rsid w:val="0070764E"/>
    <w:pPr>
      <w:autoSpaceDE w:val="0"/>
      <w:autoSpaceDN w:val="0"/>
      <w:adjustRightInd w:val="0"/>
      <w:spacing w:after="0" w:line="240" w:lineRule="auto"/>
    </w:pPr>
    <w:rPr>
      <w:rFonts w:ascii="Arial" w:hAnsi="Arial" w:cs="Arial"/>
      <w:color w:val="000000"/>
      <w:sz w:val="24"/>
      <w:szCs w:val="24"/>
    </w:rPr>
  </w:style>
  <w:style w:type="paragraph" w:customStyle="1" w:styleId="Standard">
    <w:name w:val="Standard"/>
    <w:rsid w:val="0070764E"/>
    <w:pPr>
      <w:suppressAutoHyphens/>
      <w:autoSpaceDN w:val="0"/>
      <w:spacing w:after="0" w:line="100" w:lineRule="atLeast"/>
      <w:textAlignment w:val="baseline"/>
    </w:pPr>
    <w:rPr>
      <w:rFonts w:ascii="Verdana" w:eastAsia="Times New Roman" w:hAnsi="Verdana" w:cs="Verdana"/>
      <w:kern w:val="3"/>
      <w:lang w:val="es-ES" w:eastAsia="es-ES"/>
    </w:rPr>
  </w:style>
  <w:style w:type="paragraph" w:styleId="Sinespaciado">
    <w:name w:val="No Spacing"/>
    <w:link w:val="SinespaciadoCar"/>
    <w:uiPriority w:val="1"/>
    <w:qFormat/>
    <w:rsid w:val="0070764E"/>
    <w:pPr>
      <w:spacing w:after="0" w:line="240" w:lineRule="auto"/>
    </w:pPr>
  </w:style>
  <w:style w:type="character" w:customStyle="1" w:styleId="SinespaciadoCar">
    <w:name w:val="Sin espaciado Car"/>
    <w:basedOn w:val="Fuentedeprrafopredeter"/>
    <w:link w:val="Sinespaciado"/>
    <w:uiPriority w:val="1"/>
    <w:rsid w:val="0070764E"/>
  </w:style>
  <w:style w:type="character" w:customStyle="1" w:styleId="TextocomentarioCar">
    <w:name w:val="Texto comentario Car"/>
    <w:basedOn w:val="Fuentedeprrafopredeter"/>
    <w:link w:val="Textocomentario"/>
    <w:uiPriority w:val="99"/>
    <w:rsid w:val="0070764E"/>
    <w:rPr>
      <w:rFonts w:ascii="Tw Cen MT" w:eastAsia="Tw Cen MT" w:hAnsi="Tw Cen MT" w:cs="Tw Cen MT"/>
      <w:sz w:val="20"/>
      <w:szCs w:val="20"/>
      <w:lang w:val="es-ES" w:eastAsia="es-ES" w:bidi="es-ES"/>
    </w:rPr>
  </w:style>
  <w:style w:type="paragraph" w:styleId="Textocomentario">
    <w:name w:val="annotation text"/>
    <w:basedOn w:val="Normal"/>
    <w:link w:val="TextocomentarioCar"/>
    <w:uiPriority w:val="99"/>
    <w:unhideWhenUsed/>
    <w:rsid w:val="0070764E"/>
    <w:pPr>
      <w:widowControl w:val="0"/>
      <w:autoSpaceDE w:val="0"/>
      <w:autoSpaceDN w:val="0"/>
    </w:pPr>
    <w:rPr>
      <w:rFonts w:ascii="Tw Cen MT" w:eastAsia="Tw Cen MT" w:hAnsi="Tw Cen MT" w:cs="Tw Cen MT"/>
      <w:sz w:val="20"/>
      <w:szCs w:val="20"/>
      <w:lang w:val="es-ES" w:eastAsia="es-ES" w:bidi="es-ES"/>
    </w:rPr>
  </w:style>
  <w:style w:type="character" w:customStyle="1" w:styleId="TextocomentarioCar1">
    <w:name w:val="Texto comentario Car1"/>
    <w:basedOn w:val="Fuentedeprrafopredeter"/>
    <w:uiPriority w:val="99"/>
    <w:semiHidden/>
    <w:rsid w:val="0070764E"/>
    <w:rPr>
      <w:rFonts w:ascii="Times New Roman" w:eastAsia="Times New Roman" w:hAnsi="Times New Roman" w:cs="Times New Roman"/>
      <w:sz w:val="20"/>
      <w:szCs w:val="20"/>
      <w:lang w:eastAsia="es-ES_tradnl"/>
    </w:rPr>
  </w:style>
  <w:style w:type="character" w:customStyle="1" w:styleId="AsuntodelcomentarioCar">
    <w:name w:val="Asunto del comentario Car"/>
    <w:basedOn w:val="TextocomentarioCar"/>
    <w:link w:val="Asuntodelcomentario"/>
    <w:uiPriority w:val="99"/>
    <w:semiHidden/>
    <w:rsid w:val="0070764E"/>
    <w:rPr>
      <w:rFonts w:ascii="Tw Cen MT" w:eastAsia="Tw Cen MT" w:hAnsi="Tw Cen MT" w:cs="Tw Cen MT"/>
      <w:b/>
      <w:bCs/>
      <w:sz w:val="20"/>
      <w:szCs w:val="20"/>
      <w:lang w:val="es-ES" w:eastAsia="es-ES" w:bidi="es-ES"/>
    </w:rPr>
  </w:style>
  <w:style w:type="paragraph" w:styleId="Asuntodelcomentario">
    <w:name w:val="annotation subject"/>
    <w:basedOn w:val="Textocomentario"/>
    <w:next w:val="Textocomentario"/>
    <w:link w:val="AsuntodelcomentarioCar"/>
    <w:uiPriority w:val="99"/>
    <w:semiHidden/>
    <w:unhideWhenUsed/>
    <w:rsid w:val="0070764E"/>
    <w:rPr>
      <w:b/>
      <w:bCs/>
    </w:rPr>
  </w:style>
  <w:style w:type="character" w:customStyle="1" w:styleId="AsuntodelcomentarioCar1">
    <w:name w:val="Asunto del comentario Car1"/>
    <w:basedOn w:val="TextocomentarioCar1"/>
    <w:uiPriority w:val="99"/>
    <w:semiHidden/>
    <w:rsid w:val="0070764E"/>
    <w:rPr>
      <w:rFonts w:ascii="Times New Roman" w:eastAsia="Times New Roman" w:hAnsi="Times New Roman" w:cs="Times New Roman"/>
      <w:b/>
      <w:bCs/>
      <w:sz w:val="20"/>
      <w:szCs w:val="20"/>
      <w:lang w:eastAsia="es-ES_tradnl"/>
    </w:rPr>
  </w:style>
  <w:style w:type="paragraph" w:styleId="TtuloTDC">
    <w:name w:val="TOC Heading"/>
    <w:basedOn w:val="Ttulo1"/>
    <w:next w:val="Normal"/>
    <w:uiPriority w:val="39"/>
    <w:unhideWhenUsed/>
    <w:qFormat/>
    <w:rsid w:val="0070764E"/>
    <w:pPr>
      <w:spacing w:line="259" w:lineRule="auto"/>
      <w:ind w:left="786" w:hanging="360"/>
      <w:outlineLvl w:val="9"/>
    </w:pPr>
    <w:rPr>
      <w:sz w:val="28"/>
      <w:lang w:eastAsia="es-CO"/>
    </w:rPr>
  </w:style>
  <w:style w:type="paragraph" w:styleId="TDC1">
    <w:name w:val="toc 1"/>
    <w:basedOn w:val="Normal"/>
    <w:next w:val="Normal"/>
    <w:autoRedefine/>
    <w:uiPriority w:val="39"/>
    <w:unhideWhenUsed/>
    <w:rsid w:val="004E2227"/>
    <w:pPr>
      <w:tabs>
        <w:tab w:val="left" w:pos="660"/>
        <w:tab w:val="right" w:leader="dot" w:pos="8828"/>
      </w:tabs>
      <w:spacing w:before="120"/>
    </w:pPr>
    <w:rPr>
      <w:rFonts w:asciiTheme="minorHAnsi" w:hAnsiTheme="minorHAnsi"/>
      <w:b/>
      <w:bCs/>
      <w:i/>
      <w:iCs/>
    </w:rPr>
  </w:style>
  <w:style w:type="character" w:styleId="Hipervnculo">
    <w:name w:val="Hyperlink"/>
    <w:basedOn w:val="Fuentedeprrafopredeter"/>
    <w:uiPriority w:val="99"/>
    <w:unhideWhenUsed/>
    <w:rsid w:val="0070764E"/>
    <w:rPr>
      <w:color w:val="0563C1" w:themeColor="hyperlink"/>
      <w:u w:val="single"/>
    </w:rPr>
  </w:style>
  <w:style w:type="paragraph" w:styleId="TDC2">
    <w:name w:val="toc 2"/>
    <w:basedOn w:val="Normal"/>
    <w:next w:val="Normal"/>
    <w:autoRedefine/>
    <w:uiPriority w:val="39"/>
    <w:unhideWhenUsed/>
    <w:rsid w:val="0070764E"/>
    <w:pPr>
      <w:spacing w:before="120"/>
      <w:ind w:left="240"/>
    </w:pPr>
    <w:rPr>
      <w:rFonts w:asciiTheme="minorHAnsi" w:hAnsiTheme="minorHAnsi"/>
      <w:b/>
      <w:bCs/>
      <w:sz w:val="22"/>
      <w:szCs w:val="22"/>
    </w:rPr>
  </w:style>
  <w:style w:type="paragraph" w:styleId="TDC3">
    <w:name w:val="toc 3"/>
    <w:basedOn w:val="Normal"/>
    <w:next w:val="Normal"/>
    <w:autoRedefine/>
    <w:uiPriority w:val="39"/>
    <w:unhideWhenUsed/>
    <w:rsid w:val="0070764E"/>
    <w:pPr>
      <w:ind w:left="480"/>
    </w:pPr>
    <w:rPr>
      <w:rFonts w:asciiTheme="minorHAnsi" w:hAnsiTheme="minorHAnsi"/>
      <w:sz w:val="20"/>
      <w:szCs w:val="20"/>
    </w:rPr>
  </w:style>
  <w:style w:type="paragraph" w:customStyle="1" w:styleId="msonormal0">
    <w:name w:val="msonormal"/>
    <w:basedOn w:val="Normal"/>
    <w:rsid w:val="0070764E"/>
    <w:pPr>
      <w:spacing w:before="100" w:beforeAutospacing="1" w:after="100" w:afterAutospacing="1"/>
    </w:pPr>
    <w:rPr>
      <w:lang w:eastAsia="es-CO"/>
    </w:rPr>
  </w:style>
  <w:style w:type="paragraph" w:customStyle="1" w:styleId="xl65">
    <w:name w:val="xl65"/>
    <w:basedOn w:val="Normal"/>
    <w:rsid w:val="0070764E"/>
    <w:pPr>
      <w:pBdr>
        <w:top w:val="single" w:sz="8" w:space="0" w:color="auto"/>
        <w:left w:val="single" w:sz="4" w:space="0" w:color="auto"/>
        <w:bottom w:val="single" w:sz="4" w:space="0" w:color="auto"/>
        <w:right w:val="single" w:sz="4" w:space="0" w:color="auto"/>
      </w:pBdr>
      <w:shd w:val="clear" w:color="000000" w:fill="375623"/>
      <w:spacing w:before="100" w:beforeAutospacing="1" w:after="100" w:afterAutospacing="1"/>
      <w:jc w:val="center"/>
      <w:textAlignment w:val="center"/>
    </w:pPr>
    <w:rPr>
      <w:rFonts w:ascii="Century Gothic" w:hAnsi="Century Gothic"/>
      <w:b/>
      <w:bCs/>
      <w:color w:val="FFFFFF"/>
      <w:sz w:val="16"/>
      <w:szCs w:val="16"/>
      <w:lang w:eastAsia="es-CO"/>
    </w:rPr>
  </w:style>
  <w:style w:type="paragraph" w:customStyle="1" w:styleId="xl66">
    <w:name w:val="xl66"/>
    <w:basedOn w:val="Normal"/>
    <w:rsid w:val="0070764E"/>
    <w:pPr>
      <w:pBdr>
        <w:bottom w:val="single" w:sz="4" w:space="0" w:color="auto"/>
      </w:pBdr>
      <w:shd w:val="clear" w:color="000000" w:fill="FFFF00"/>
      <w:spacing w:before="100" w:beforeAutospacing="1" w:after="100" w:afterAutospacing="1"/>
      <w:jc w:val="center"/>
      <w:textAlignment w:val="center"/>
    </w:pPr>
    <w:rPr>
      <w:rFonts w:ascii="Century Gothic" w:hAnsi="Century Gothic"/>
      <w:b/>
      <w:bCs/>
      <w:sz w:val="16"/>
      <w:szCs w:val="16"/>
      <w:lang w:eastAsia="es-CO"/>
    </w:rPr>
  </w:style>
  <w:style w:type="paragraph" w:customStyle="1" w:styleId="xl67">
    <w:name w:val="xl67"/>
    <w:basedOn w:val="Normal"/>
    <w:rsid w:val="0070764E"/>
    <w:pPr>
      <w:spacing w:before="100" w:beforeAutospacing="1" w:after="100" w:afterAutospacing="1"/>
    </w:pPr>
    <w:rPr>
      <w:sz w:val="16"/>
      <w:szCs w:val="16"/>
      <w:lang w:eastAsia="es-CO"/>
    </w:rPr>
  </w:style>
  <w:style w:type="paragraph" w:customStyle="1" w:styleId="xl68">
    <w:name w:val="xl68"/>
    <w:basedOn w:val="Normal"/>
    <w:rsid w:val="0070764E"/>
    <w:pPr>
      <w:pBdr>
        <w:left w:val="single" w:sz="4" w:space="0" w:color="auto"/>
        <w:bottom w:val="single" w:sz="4" w:space="0" w:color="auto"/>
        <w:right w:val="single" w:sz="4" w:space="0" w:color="auto"/>
      </w:pBdr>
      <w:spacing w:before="100" w:beforeAutospacing="1" w:after="100" w:afterAutospacing="1"/>
      <w:textAlignment w:val="center"/>
    </w:pPr>
    <w:rPr>
      <w:rFonts w:ascii="Century Gothic" w:hAnsi="Century Gothic"/>
      <w:sz w:val="16"/>
      <w:szCs w:val="16"/>
      <w:lang w:eastAsia="es-CO"/>
    </w:rPr>
  </w:style>
  <w:style w:type="paragraph" w:customStyle="1" w:styleId="xl69">
    <w:name w:val="xl69"/>
    <w:basedOn w:val="Normal"/>
    <w:rsid w:val="0070764E"/>
    <w:pPr>
      <w:pBdr>
        <w:bottom w:val="single" w:sz="4" w:space="0" w:color="auto"/>
        <w:right w:val="single" w:sz="8" w:space="0" w:color="auto"/>
      </w:pBdr>
      <w:spacing w:before="100" w:beforeAutospacing="1" w:after="100" w:afterAutospacing="1"/>
      <w:jc w:val="center"/>
      <w:textAlignment w:val="center"/>
    </w:pPr>
    <w:rPr>
      <w:rFonts w:ascii="Century Gothic" w:hAnsi="Century Gothic"/>
      <w:sz w:val="16"/>
      <w:szCs w:val="16"/>
      <w:lang w:eastAsia="es-CO"/>
    </w:rPr>
  </w:style>
  <w:style w:type="paragraph" w:customStyle="1" w:styleId="xl70">
    <w:name w:val="xl70"/>
    <w:basedOn w:val="Normal"/>
    <w:rsid w:val="0070764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entury Gothic" w:hAnsi="Century Gothic"/>
      <w:sz w:val="16"/>
      <w:szCs w:val="16"/>
      <w:lang w:eastAsia="es-CO"/>
    </w:rPr>
  </w:style>
  <w:style w:type="paragraph" w:customStyle="1" w:styleId="xl71">
    <w:name w:val="xl71"/>
    <w:basedOn w:val="Normal"/>
    <w:rsid w:val="0070764E"/>
    <w:pPr>
      <w:pBdr>
        <w:left w:val="single" w:sz="4" w:space="0" w:color="auto"/>
        <w:bottom w:val="single" w:sz="4" w:space="0" w:color="auto"/>
        <w:right w:val="single" w:sz="4" w:space="0" w:color="auto"/>
      </w:pBdr>
      <w:spacing w:before="100" w:beforeAutospacing="1" w:after="100" w:afterAutospacing="1"/>
      <w:textAlignment w:val="center"/>
    </w:pPr>
    <w:rPr>
      <w:rFonts w:ascii="Century Gothic" w:hAnsi="Century Gothic"/>
      <w:sz w:val="16"/>
      <w:szCs w:val="16"/>
      <w:lang w:eastAsia="es-CO"/>
    </w:rPr>
  </w:style>
  <w:style w:type="paragraph" w:customStyle="1" w:styleId="xl72">
    <w:name w:val="xl72"/>
    <w:basedOn w:val="Normal"/>
    <w:rsid w:val="0070764E"/>
    <w:pPr>
      <w:pBdr>
        <w:bottom w:val="single" w:sz="4" w:space="0" w:color="auto"/>
        <w:right w:val="single" w:sz="8" w:space="0" w:color="auto"/>
      </w:pBdr>
      <w:shd w:val="clear" w:color="000000" w:fill="FFFFFF"/>
      <w:spacing w:before="100" w:beforeAutospacing="1" w:after="100" w:afterAutospacing="1"/>
      <w:jc w:val="center"/>
      <w:textAlignment w:val="center"/>
    </w:pPr>
    <w:rPr>
      <w:rFonts w:ascii="Century Gothic" w:hAnsi="Century Gothic"/>
      <w:sz w:val="16"/>
      <w:szCs w:val="16"/>
      <w:lang w:eastAsia="es-CO"/>
    </w:rPr>
  </w:style>
  <w:style w:type="paragraph" w:customStyle="1" w:styleId="xl73">
    <w:name w:val="xl73"/>
    <w:basedOn w:val="Normal"/>
    <w:rsid w:val="0070764E"/>
    <w:pPr>
      <w:pBdr>
        <w:right w:val="single" w:sz="8" w:space="0" w:color="auto"/>
      </w:pBdr>
      <w:spacing w:before="100" w:beforeAutospacing="1" w:after="100" w:afterAutospacing="1"/>
      <w:jc w:val="center"/>
      <w:textAlignment w:val="center"/>
    </w:pPr>
    <w:rPr>
      <w:rFonts w:ascii="Century Gothic" w:hAnsi="Century Gothic"/>
      <w:sz w:val="16"/>
      <w:szCs w:val="16"/>
      <w:lang w:eastAsia="es-CO"/>
    </w:rPr>
  </w:style>
  <w:style w:type="paragraph" w:customStyle="1" w:styleId="xl74">
    <w:name w:val="xl74"/>
    <w:basedOn w:val="Normal"/>
    <w:rsid w:val="0070764E"/>
    <w:pPr>
      <w:pBdr>
        <w:left w:val="single" w:sz="4" w:space="0" w:color="auto"/>
        <w:bottom w:val="single" w:sz="4" w:space="0" w:color="auto"/>
        <w:right w:val="single" w:sz="4" w:space="0" w:color="auto"/>
      </w:pBdr>
      <w:spacing w:before="100" w:beforeAutospacing="1" w:after="100" w:afterAutospacing="1"/>
      <w:textAlignment w:val="top"/>
    </w:pPr>
    <w:rPr>
      <w:rFonts w:ascii="Century Gothic" w:hAnsi="Century Gothic"/>
      <w:sz w:val="16"/>
      <w:szCs w:val="16"/>
      <w:lang w:eastAsia="es-CO"/>
    </w:rPr>
  </w:style>
  <w:style w:type="paragraph" w:customStyle="1" w:styleId="xl75">
    <w:name w:val="xl75"/>
    <w:basedOn w:val="Normal"/>
    <w:rsid w:val="0070764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Century Gothic" w:hAnsi="Century Gothic"/>
      <w:sz w:val="16"/>
      <w:szCs w:val="16"/>
      <w:lang w:eastAsia="es-CO"/>
    </w:rPr>
  </w:style>
  <w:style w:type="paragraph" w:customStyle="1" w:styleId="xl76">
    <w:name w:val="xl76"/>
    <w:basedOn w:val="Normal"/>
    <w:rsid w:val="0070764E"/>
    <w:pPr>
      <w:pBdr>
        <w:top w:val="single" w:sz="4" w:space="0" w:color="auto"/>
        <w:bottom w:val="single" w:sz="4" w:space="0" w:color="auto"/>
        <w:right w:val="single" w:sz="8" w:space="0" w:color="auto"/>
      </w:pBdr>
      <w:spacing w:before="100" w:beforeAutospacing="1" w:after="100" w:afterAutospacing="1"/>
      <w:jc w:val="center"/>
      <w:textAlignment w:val="center"/>
    </w:pPr>
    <w:rPr>
      <w:rFonts w:ascii="Century Gothic" w:hAnsi="Century Gothic"/>
      <w:sz w:val="16"/>
      <w:szCs w:val="16"/>
      <w:lang w:eastAsia="es-CO"/>
    </w:rPr>
  </w:style>
  <w:style w:type="paragraph" w:customStyle="1" w:styleId="xl77">
    <w:name w:val="xl77"/>
    <w:basedOn w:val="Normal"/>
    <w:rsid w:val="0070764E"/>
    <w:pPr>
      <w:pBdr>
        <w:left w:val="single" w:sz="4" w:space="0" w:color="auto"/>
        <w:right w:val="single" w:sz="4" w:space="0" w:color="auto"/>
      </w:pBdr>
      <w:spacing w:before="100" w:beforeAutospacing="1" w:after="100" w:afterAutospacing="1"/>
      <w:textAlignment w:val="center"/>
    </w:pPr>
    <w:rPr>
      <w:rFonts w:ascii="Century Gothic" w:hAnsi="Century Gothic"/>
      <w:sz w:val="16"/>
      <w:szCs w:val="16"/>
      <w:lang w:eastAsia="es-CO"/>
    </w:rPr>
  </w:style>
  <w:style w:type="paragraph" w:customStyle="1" w:styleId="xl78">
    <w:name w:val="xl78"/>
    <w:basedOn w:val="Normal"/>
    <w:rsid w:val="0070764E"/>
    <w:pPr>
      <w:pBdr>
        <w:top w:val="single" w:sz="8" w:space="0" w:color="auto"/>
        <w:left w:val="single" w:sz="8" w:space="0" w:color="auto"/>
        <w:bottom w:val="single" w:sz="8" w:space="0" w:color="auto"/>
      </w:pBdr>
      <w:spacing w:before="100" w:beforeAutospacing="1" w:after="100" w:afterAutospacing="1"/>
    </w:pPr>
    <w:rPr>
      <w:b/>
      <w:bCs/>
      <w:sz w:val="16"/>
      <w:szCs w:val="16"/>
      <w:lang w:eastAsia="es-CO"/>
    </w:rPr>
  </w:style>
  <w:style w:type="paragraph" w:customStyle="1" w:styleId="xl79">
    <w:name w:val="xl79"/>
    <w:basedOn w:val="Normal"/>
    <w:rsid w:val="0070764E"/>
    <w:pPr>
      <w:pBdr>
        <w:top w:val="single" w:sz="8" w:space="0" w:color="auto"/>
        <w:bottom w:val="single" w:sz="8" w:space="0" w:color="auto"/>
      </w:pBdr>
      <w:spacing w:before="100" w:beforeAutospacing="1" w:after="100" w:afterAutospacing="1"/>
      <w:jc w:val="center"/>
    </w:pPr>
    <w:rPr>
      <w:b/>
      <w:bCs/>
      <w:sz w:val="16"/>
      <w:szCs w:val="16"/>
      <w:lang w:eastAsia="es-CO"/>
    </w:rPr>
  </w:style>
  <w:style w:type="paragraph" w:customStyle="1" w:styleId="xl80">
    <w:name w:val="xl80"/>
    <w:basedOn w:val="Normal"/>
    <w:rsid w:val="0070764E"/>
    <w:pPr>
      <w:pBdr>
        <w:top w:val="single" w:sz="8" w:space="0" w:color="auto"/>
        <w:bottom w:val="single" w:sz="8" w:space="0" w:color="auto"/>
        <w:right w:val="single" w:sz="8" w:space="0" w:color="auto"/>
      </w:pBdr>
      <w:spacing w:before="100" w:beforeAutospacing="1" w:after="100" w:afterAutospacing="1"/>
      <w:jc w:val="center"/>
    </w:pPr>
    <w:rPr>
      <w:b/>
      <w:bCs/>
      <w:sz w:val="16"/>
      <w:szCs w:val="16"/>
      <w:lang w:eastAsia="es-CO"/>
    </w:rPr>
  </w:style>
  <w:style w:type="paragraph" w:customStyle="1" w:styleId="xl81">
    <w:name w:val="xl81"/>
    <w:basedOn w:val="Normal"/>
    <w:rsid w:val="0070764E"/>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sz w:val="16"/>
      <w:szCs w:val="16"/>
      <w:lang w:eastAsia="es-CO"/>
    </w:rPr>
  </w:style>
  <w:style w:type="paragraph" w:customStyle="1" w:styleId="xl82">
    <w:name w:val="xl82"/>
    <w:basedOn w:val="Normal"/>
    <w:rsid w:val="0070764E"/>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sz w:val="16"/>
      <w:szCs w:val="16"/>
      <w:lang w:eastAsia="es-CO"/>
    </w:rPr>
  </w:style>
  <w:style w:type="paragraph" w:customStyle="1" w:styleId="xl83">
    <w:name w:val="xl83"/>
    <w:basedOn w:val="Normal"/>
    <w:rsid w:val="0070764E"/>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sz w:val="16"/>
      <w:szCs w:val="16"/>
      <w:lang w:eastAsia="es-CO"/>
    </w:rPr>
  </w:style>
  <w:style w:type="paragraph" w:customStyle="1" w:styleId="xl84">
    <w:name w:val="xl84"/>
    <w:basedOn w:val="Normal"/>
    <w:rsid w:val="0070764E"/>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16"/>
      <w:szCs w:val="16"/>
      <w:lang w:eastAsia="es-CO"/>
    </w:rPr>
  </w:style>
  <w:style w:type="paragraph" w:customStyle="1" w:styleId="xl85">
    <w:name w:val="xl85"/>
    <w:basedOn w:val="Normal"/>
    <w:rsid w:val="0070764E"/>
    <w:pPr>
      <w:pBdr>
        <w:top w:val="single" w:sz="8" w:space="0" w:color="auto"/>
        <w:left w:val="single" w:sz="8" w:space="0" w:color="auto"/>
        <w:bottom w:val="single" w:sz="8" w:space="0" w:color="auto"/>
        <w:right w:val="single" w:sz="8" w:space="0" w:color="auto"/>
      </w:pBdr>
      <w:spacing w:before="100" w:beforeAutospacing="1" w:after="100" w:afterAutospacing="1"/>
    </w:pPr>
    <w:rPr>
      <w:sz w:val="16"/>
      <w:szCs w:val="16"/>
      <w:lang w:eastAsia="es-CO"/>
    </w:rPr>
  </w:style>
  <w:style w:type="paragraph" w:styleId="NormalWeb">
    <w:name w:val="Normal (Web)"/>
    <w:basedOn w:val="Normal"/>
    <w:uiPriority w:val="99"/>
    <w:unhideWhenUsed/>
    <w:rsid w:val="0070764E"/>
    <w:pPr>
      <w:spacing w:after="160" w:line="259" w:lineRule="auto"/>
    </w:pPr>
  </w:style>
  <w:style w:type="character" w:customStyle="1" w:styleId="MapadeldocumentoCar">
    <w:name w:val="Mapa del documento Car"/>
    <w:basedOn w:val="Fuentedeprrafopredeter"/>
    <w:link w:val="Mapadeldocumento"/>
    <w:uiPriority w:val="99"/>
    <w:semiHidden/>
    <w:rsid w:val="0070764E"/>
    <w:rPr>
      <w:rFonts w:ascii="Tahoma" w:eastAsiaTheme="minorEastAsia" w:hAnsi="Tahoma" w:cs="Tahoma"/>
      <w:sz w:val="16"/>
      <w:szCs w:val="16"/>
    </w:rPr>
  </w:style>
  <w:style w:type="paragraph" w:styleId="Mapadeldocumento">
    <w:name w:val="Document Map"/>
    <w:basedOn w:val="Normal"/>
    <w:link w:val="MapadeldocumentoCar"/>
    <w:uiPriority w:val="99"/>
    <w:semiHidden/>
    <w:unhideWhenUsed/>
    <w:rsid w:val="0070764E"/>
    <w:rPr>
      <w:rFonts w:ascii="Tahoma" w:eastAsiaTheme="minorEastAsia" w:hAnsi="Tahoma" w:cs="Tahoma"/>
      <w:sz w:val="16"/>
      <w:szCs w:val="16"/>
      <w:lang w:eastAsia="en-US"/>
    </w:rPr>
  </w:style>
  <w:style w:type="character" w:customStyle="1" w:styleId="MapadeldocumentoCar1">
    <w:name w:val="Mapa del documento Car1"/>
    <w:basedOn w:val="Fuentedeprrafopredeter"/>
    <w:uiPriority w:val="99"/>
    <w:semiHidden/>
    <w:rsid w:val="0070764E"/>
    <w:rPr>
      <w:rFonts w:ascii="Segoe UI" w:eastAsia="Times New Roman" w:hAnsi="Segoe UI" w:cs="Segoe UI"/>
      <w:sz w:val="16"/>
      <w:szCs w:val="16"/>
      <w:lang w:eastAsia="es-ES_tradnl"/>
    </w:rPr>
  </w:style>
  <w:style w:type="paragraph" w:customStyle="1" w:styleId="p2">
    <w:name w:val="p2"/>
    <w:basedOn w:val="Normal"/>
    <w:rsid w:val="0070764E"/>
    <w:pPr>
      <w:spacing w:before="100" w:beforeAutospacing="1" w:after="100" w:afterAutospacing="1"/>
    </w:pPr>
    <w:rPr>
      <w:rFonts w:ascii="Calibri" w:eastAsiaTheme="minorEastAsia" w:hAnsi="Calibri" w:cs="Calibri"/>
      <w:sz w:val="22"/>
      <w:szCs w:val="22"/>
      <w:lang w:eastAsia="es-CO"/>
    </w:rPr>
  </w:style>
  <w:style w:type="paragraph" w:styleId="Bibliografa">
    <w:name w:val="Bibliography"/>
    <w:basedOn w:val="Normal"/>
    <w:next w:val="Normal"/>
    <w:uiPriority w:val="37"/>
    <w:unhideWhenUsed/>
    <w:rsid w:val="0070764E"/>
    <w:pPr>
      <w:spacing w:after="160" w:line="259" w:lineRule="auto"/>
      <w:jc w:val="both"/>
    </w:pPr>
    <w:rPr>
      <w:rFonts w:eastAsiaTheme="minorEastAsia"/>
      <w:sz w:val="22"/>
      <w:szCs w:val="22"/>
    </w:rPr>
  </w:style>
  <w:style w:type="paragraph" w:styleId="Descripcin">
    <w:name w:val="caption"/>
    <w:basedOn w:val="Normal"/>
    <w:next w:val="Normal"/>
    <w:uiPriority w:val="35"/>
    <w:unhideWhenUsed/>
    <w:qFormat/>
    <w:rsid w:val="0070764E"/>
    <w:pPr>
      <w:spacing w:after="200"/>
    </w:pPr>
    <w:rPr>
      <w:rFonts w:eastAsiaTheme="minorEastAsia"/>
      <w:i/>
      <w:iCs/>
      <w:color w:val="44546A" w:themeColor="text2"/>
      <w:sz w:val="18"/>
      <w:szCs w:val="18"/>
    </w:rPr>
  </w:style>
  <w:style w:type="table" w:styleId="Sombreadoclaro-nfasis3">
    <w:name w:val="Light Shading Accent 3"/>
    <w:basedOn w:val="Tablanormal"/>
    <w:uiPriority w:val="60"/>
    <w:rsid w:val="0070764E"/>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customStyle="1" w:styleId="apple-converted-space">
    <w:name w:val="apple-converted-space"/>
    <w:basedOn w:val="Fuentedeprrafopredeter"/>
    <w:rsid w:val="0070764E"/>
  </w:style>
  <w:style w:type="table" w:styleId="Tablaconcuadrculaclara">
    <w:name w:val="Grid Table Light"/>
    <w:basedOn w:val="Tablanormal"/>
    <w:uiPriority w:val="40"/>
    <w:rsid w:val="0070764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Refdecomentario">
    <w:name w:val="annotation reference"/>
    <w:basedOn w:val="Fuentedeprrafopredeter"/>
    <w:uiPriority w:val="99"/>
    <w:semiHidden/>
    <w:unhideWhenUsed/>
    <w:rsid w:val="00E06E3C"/>
    <w:rPr>
      <w:sz w:val="16"/>
      <w:szCs w:val="16"/>
    </w:rPr>
  </w:style>
  <w:style w:type="table" w:styleId="Tablaconcuadrcula1clara-nfasis3">
    <w:name w:val="Grid Table 1 Light Accent 3"/>
    <w:basedOn w:val="Tablanormal"/>
    <w:uiPriority w:val="46"/>
    <w:rsid w:val="00B0132B"/>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leNormal">
    <w:name w:val="Table Normal"/>
    <w:uiPriority w:val="2"/>
    <w:semiHidden/>
    <w:qFormat/>
    <w:rsid w:val="003F31B2"/>
    <w:pPr>
      <w:widowControl w:val="0"/>
      <w:autoSpaceDE w:val="0"/>
      <w:autoSpaceDN w:val="0"/>
      <w:spacing w:after="0" w:line="240" w:lineRule="auto"/>
    </w:pPr>
    <w:rPr>
      <w:lang w:val="en-US"/>
    </w:rPr>
    <w:tblPr>
      <w:tblCellMar>
        <w:top w:w="0" w:type="dxa"/>
        <w:left w:w="0" w:type="dxa"/>
        <w:bottom w:w="0" w:type="dxa"/>
        <w:right w:w="0" w:type="dxa"/>
      </w:tblCellMar>
    </w:tblPr>
  </w:style>
  <w:style w:type="table" w:styleId="Tablaconcuadrcula">
    <w:name w:val="Table Grid"/>
    <w:basedOn w:val="Tablanormal"/>
    <w:rsid w:val="002E10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n">
    <w:name w:val="Revision"/>
    <w:hidden/>
    <w:uiPriority w:val="99"/>
    <w:semiHidden/>
    <w:rsid w:val="00096CC5"/>
    <w:pPr>
      <w:spacing w:after="0" w:line="240" w:lineRule="auto"/>
    </w:pPr>
    <w:rPr>
      <w:rFonts w:ascii="Times New Roman" w:eastAsia="Times New Roman" w:hAnsi="Times New Roman" w:cs="Times New Roman"/>
      <w:sz w:val="24"/>
      <w:szCs w:val="24"/>
      <w:lang w:eastAsia="es-ES_tradnl"/>
    </w:rPr>
  </w:style>
  <w:style w:type="table" w:customStyle="1" w:styleId="Tablaconcuadrcula1clara-nfasis31">
    <w:name w:val="Tabla con cuadrícula 1 clara - Énfasis 31"/>
    <w:basedOn w:val="Tablanormal"/>
    <w:uiPriority w:val="46"/>
    <w:rsid w:val="00A36387"/>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styleId="Tabladeilustraciones">
    <w:name w:val="table of figures"/>
    <w:basedOn w:val="Normal"/>
    <w:next w:val="Normal"/>
    <w:uiPriority w:val="99"/>
    <w:unhideWhenUsed/>
    <w:rsid w:val="00471AB1"/>
  </w:style>
  <w:style w:type="table" w:styleId="Tablanormal2">
    <w:name w:val="Plain Table 2"/>
    <w:basedOn w:val="Tablanormal"/>
    <w:uiPriority w:val="42"/>
    <w:rsid w:val="003014D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normaltextrun">
    <w:name w:val="normaltextrun"/>
    <w:basedOn w:val="Fuentedeprrafopredeter"/>
    <w:rsid w:val="00563818"/>
  </w:style>
  <w:style w:type="character" w:customStyle="1" w:styleId="eop">
    <w:name w:val="eop"/>
    <w:basedOn w:val="Fuentedeprrafopredeter"/>
    <w:rsid w:val="00563818"/>
  </w:style>
  <w:style w:type="numbering" w:customStyle="1" w:styleId="Listaactual1">
    <w:name w:val="Lista actual1"/>
    <w:uiPriority w:val="99"/>
    <w:rsid w:val="008737E1"/>
    <w:pPr>
      <w:numPr>
        <w:numId w:val="5"/>
      </w:numPr>
    </w:pPr>
  </w:style>
  <w:style w:type="numbering" w:customStyle="1" w:styleId="Listaactual2">
    <w:name w:val="Lista actual2"/>
    <w:uiPriority w:val="99"/>
    <w:rsid w:val="008737E1"/>
    <w:pPr>
      <w:numPr>
        <w:numId w:val="6"/>
      </w:numPr>
    </w:pPr>
  </w:style>
  <w:style w:type="character" w:styleId="Mencinsinresolver">
    <w:name w:val="Unresolved Mention"/>
    <w:basedOn w:val="Fuentedeprrafopredeter"/>
    <w:uiPriority w:val="99"/>
    <w:semiHidden/>
    <w:unhideWhenUsed/>
    <w:rsid w:val="00997A58"/>
    <w:rPr>
      <w:color w:val="605E5C"/>
      <w:shd w:val="clear" w:color="auto" w:fill="E1DFDD"/>
    </w:rPr>
  </w:style>
  <w:style w:type="paragraph" w:customStyle="1" w:styleId="paragraph">
    <w:name w:val="paragraph"/>
    <w:basedOn w:val="Normal"/>
    <w:rsid w:val="00CD26F2"/>
    <w:pPr>
      <w:spacing w:before="100" w:beforeAutospacing="1" w:after="100" w:afterAutospacing="1"/>
    </w:pPr>
    <w:rPr>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846802">
      <w:bodyDiv w:val="1"/>
      <w:marLeft w:val="0"/>
      <w:marRight w:val="0"/>
      <w:marTop w:val="0"/>
      <w:marBottom w:val="0"/>
      <w:divBdr>
        <w:top w:val="none" w:sz="0" w:space="0" w:color="auto"/>
        <w:left w:val="none" w:sz="0" w:space="0" w:color="auto"/>
        <w:bottom w:val="none" w:sz="0" w:space="0" w:color="auto"/>
        <w:right w:val="none" w:sz="0" w:space="0" w:color="auto"/>
      </w:divBdr>
    </w:div>
    <w:div w:id="39867627">
      <w:bodyDiv w:val="1"/>
      <w:marLeft w:val="0"/>
      <w:marRight w:val="0"/>
      <w:marTop w:val="0"/>
      <w:marBottom w:val="0"/>
      <w:divBdr>
        <w:top w:val="none" w:sz="0" w:space="0" w:color="auto"/>
        <w:left w:val="none" w:sz="0" w:space="0" w:color="auto"/>
        <w:bottom w:val="none" w:sz="0" w:space="0" w:color="auto"/>
        <w:right w:val="none" w:sz="0" w:space="0" w:color="auto"/>
      </w:divBdr>
    </w:div>
    <w:div w:id="41682541">
      <w:bodyDiv w:val="1"/>
      <w:marLeft w:val="0"/>
      <w:marRight w:val="0"/>
      <w:marTop w:val="0"/>
      <w:marBottom w:val="0"/>
      <w:divBdr>
        <w:top w:val="none" w:sz="0" w:space="0" w:color="auto"/>
        <w:left w:val="none" w:sz="0" w:space="0" w:color="auto"/>
        <w:bottom w:val="none" w:sz="0" w:space="0" w:color="auto"/>
        <w:right w:val="none" w:sz="0" w:space="0" w:color="auto"/>
      </w:divBdr>
    </w:div>
    <w:div w:id="88434844">
      <w:bodyDiv w:val="1"/>
      <w:marLeft w:val="0"/>
      <w:marRight w:val="0"/>
      <w:marTop w:val="0"/>
      <w:marBottom w:val="0"/>
      <w:divBdr>
        <w:top w:val="none" w:sz="0" w:space="0" w:color="auto"/>
        <w:left w:val="none" w:sz="0" w:space="0" w:color="auto"/>
        <w:bottom w:val="none" w:sz="0" w:space="0" w:color="auto"/>
        <w:right w:val="none" w:sz="0" w:space="0" w:color="auto"/>
      </w:divBdr>
    </w:div>
    <w:div w:id="102309155">
      <w:bodyDiv w:val="1"/>
      <w:marLeft w:val="0"/>
      <w:marRight w:val="0"/>
      <w:marTop w:val="0"/>
      <w:marBottom w:val="0"/>
      <w:divBdr>
        <w:top w:val="none" w:sz="0" w:space="0" w:color="auto"/>
        <w:left w:val="none" w:sz="0" w:space="0" w:color="auto"/>
        <w:bottom w:val="none" w:sz="0" w:space="0" w:color="auto"/>
        <w:right w:val="none" w:sz="0" w:space="0" w:color="auto"/>
      </w:divBdr>
    </w:div>
    <w:div w:id="113259604">
      <w:bodyDiv w:val="1"/>
      <w:marLeft w:val="0"/>
      <w:marRight w:val="0"/>
      <w:marTop w:val="0"/>
      <w:marBottom w:val="0"/>
      <w:divBdr>
        <w:top w:val="none" w:sz="0" w:space="0" w:color="auto"/>
        <w:left w:val="none" w:sz="0" w:space="0" w:color="auto"/>
        <w:bottom w:val="none" w:sz="0" w:space="0" w:color="auto"/>
        <w:right w:val="none" w:sz="0" w:space="0" w:color="auto"/>
      </w:divBdr>
    </w:div>
    <w:div w:id="178472328">
      <w:bodyDiv w:val="1"/>
      <w:marLeft w:val="0"/>
      <w:marRight w:val="0"/>
      <w:marTop w:val="0"/>
      <w:marBottom w:val="0"/>
      <w:divBdr>
        <w:top w:val="none" w:sz="0" w:space="0" w:color="auto"/>
        <w:left w:val="none" w:sz="0" w:space="0" w:color="auto"/>
        <w:bottom w:val="none" w:sz="0" w:space="0" w:color="auto"/>
        <w:right w:val="none" w:sz="0" w:space="0" w:color="auto"/>
      </w:divBdr>
    </w:div>
    <w:div w:id="184369355">
      <w:bodyDiv w:val="1"/>
      <w:marLeft w:val="0"/>
      <w:marRight w:val="0"/>
      <w:marTop w:val="0"/>
      <w:marBottom w:val="0"/>
      <w:divBdr>
        <w:top w:val="none" w:sz="0" w:space="0" w:color="auto"/>
        <w:left w:val="none" w:sz="0" w:space="0" w:color="auto"/>
        <w:bottom w:val="none" w:sz="0" w:space="0" w:color="auto"/>
        <w:right w:val="none" w:sz="0" w:space="0" w:color="auto"/>
      </w:divBdr>
    </w:div>
    <w:div w:id="213393669">
      <w:bodyDiv w:val="1"/>
      <w:marLeft w:val="0"/>
      <w:marRight w:val="0"/>
      <w:marTop w:val="0"/>
      <w:marBottom w:val="0"/>
      <w:divBdr>
        <w:top w:val="none" w:sz="0" w:space="0" w:color="auto"/>
        <w:left w:val="none" w:sz="0" w:space="0" w:color="auto"/>
        <w:bottom w:val="none" w:sz="0" w:space="0" w:color="auto"/>
        <w:right w:val="none" w:sz="0" w:space="0" w:color="auto"/>
      </w:divBdr>
    </w:div>
    <w:div w:id="223834444">
      <w:bodyDiv w:val="1"/>
      <w:marLeft w:val="0"/>
      <w:marRight w:val="0"/>
      <w:marTop w:val="0"/>
      <w:marBottom w:val="0"/>
      <w:divBdr>
        <w:top w:val="none" w:sz="0" w:space="0" w:color="auto"/>
        <w:left w:val="none" w:sz="0" w:space="0" w:color="auto"/>
        <w:bottom w:val="none" w:sz="0" w:space="0" w:color="auto"/>
        <w:right w:val="none" w:sz="0" w:space="0" w:color="auto"/>
      </w:divBdr>
    </w:div>
    <w:div w:id="246157220">
      <w:marLeft w:val="0"/>
      <w:marRight w:val="0"/>
      <w:marTop w:val="0"/>
      <w:marBottom w:val="0"/>
      <w:divBdr>
        <w:top w:val="none" w:sz="0" w:space="0" w:color="auto"/>
        <w:left w:val="none" w:sz="0" w:space="0" w:color="auto"/>
        <w:bottom w:val="none" w:sz="0" w:space="0" w:color="auto"/>
        <w:right w:val="none" w:sz="0" w:space="0" w:color="auto"/>
      </w:divBdr>
    </w:div>
    <w:div w:id="251476749">
      <w:bodyDiv w:val="1"/>
      <w:marLeft w:val="0"/>
      <w:marRight w:val="0"/>
      <w:marTop w:val="0"/>
      <w:marBottom w:val="0"/>
      <w:divBdr>
        <w:top w:val="none" w:sz="0" w:space="0" w:color="auto"/>
        <w:left w:val="none" w:sz="0" w:space="0" w:color="auto"/>
        <w:bottom w:val="none" w:sz="0" w:space="0" w:color="auto"/>
        <w:right w:val="none" w:sz="0" w:space="0" w:color="auto"/>
      </w:divBdr>
    </w:div>
    <w:div w:id="268510899">
      <w:bodyDiv w:val="1"/>
      <w:marLeft w:val="0"/>
      <w:marRight w:val="0"/>
      <w:marTop w:val="0"/>
      <w:marBottom w:val="0"/>
      <w:divBdr>
        <w:top w:val="none" w:sz="0" w:space="0" w:color="auto"/>
        <w:left w:val="none" w:sz="0" w:space="0" w:color="auto"/>
        <w:bottom w:val="none" w:sz="0" w:space="0" w:color="auto"/>
        <w:right w:val="none" w:sz="0" w:space="0" w:color="auto"/>
      </w:divBdr>
    </w:div>
    <w:div w:id="269168941">
      <w:bodyDiv w:val="1"/>
      <w:marLeft w:val="0"/>
      <w:marRight w:val="0"/>
      <w:marTop w:val="0"/>
      <w:marBottom w:val="0"/>
      <w:divBdr>
        <w:top w:val="none" w:sz="0" w:space="0" w:color="auto"/>
        <w:left w:val="none" w:sz="0" w:space="0" w:color="auto"/>
        <w:bottom w:val="none" w:sz="0" w:space="0" w:color="auto"/>
        <w:right w:val="none" w:sz="0" w:space="0" w:color="auto"/>
      </w:divBdr>
    </w:div>
    <w:div w:id="277881794">
      <w:bodyDiv w:val="1"/>
      <w:marLeft w:val="0"/>
      <w:marRight w:val="0"/>
      <w:marTop w:val="0"/>
      <w:marBottom w:val="0"/>
      <w:divBdr>
        <w:top w:val="none" w:sz="0" w:space="0" w:color="auto"/>
        <w:left w:val="none" w:sz="0" w:space="0" w:color="auto"/>
        <w:bottom w:val="none" w:sz="0" w:space="0" w:color="auto"/>
        <w:right w:val="none" w:sz="0" w:space="0" w:color="auto"/>
      </w:divBdr>
    </w:div>
    <w:div w:id="285812855">
      <w:bodyDiv w:val="1"/>
      <w:marLeft w:val="0"/>
      <w:marRight w:val="0"/>
      <w:marTop w:val="0"/>
      <w:marBottom w:val="0"/>
      <w:divBdr>
        <w:top w:val="none" w:sz="0" w:space="0" w:color="auto"/>
        <w:left w:val="none" w:sz="0" w:space="0" w:color="auto"/>
        <w:bottom w:val="none" w:sz="0" w:space="0" w:color="auto"/>
        <w:right w:val="none" w:sz="0" w:space="0" w:color="auto"/>
      </w:divBdr>
    </w:div>
    <w:div w:id="301472102">
      <w:bodyDiv w:val="1"/>
      <w:marLeft w:val="0"/>
      <w:marRight w:val="0"/>
      <w:marTop w:val="0"/>
      <w:marBottom w:val="0"/>
      <w:divBdr>
        <w:top w:val="none" w:sz="0" w:space="0" w:color="auto"/>
        <w:left w:val="none" w:sz="0" w:space="0" w:color="auto"/>
        <w:bottom w:val="none" w:sz="0" w:space="0" w:color="auto"/>
        <w:right w:val="none" w:sz="0" w:space="0" w:color="auto"/>
      </w:divBdr>
    </w:div>
    <w:div w:id="316880363">
      <w:bodyDiv w:val="1"/>
      <w:marLeft w:val="0"/>
      <w:marRight w:val="0"/>
      <w:marTop w:val="0"/>
      <w:marBottom w:val="0"/>
      <w:divBdr>
        <w:top w:val="none" w:sz="0" w:space="0" w:color="auto"/>
        <w:left w:val="none" w:sz="0" w:space="0" w:color="auto"/>
        <w:bottom w:val="none" w:sz="0" w:space="0" w:color="auto"/>
        <w:right w:val="none" w:sz="0" w:space="0" w:color="auto"/>
      </w:divBdr>
    </w:div>
    <w:div w:id="325978890">
      <w:bodyDiv w:val="1"/>
      <w:marLeft w:val="0"/>
      <w:marRight w:val="0"/>
      <w:marTop w:val="0"/>
      <w:marBottom w:val="0"/>
      <w:divBdr>
        <w:top w:val="none" w:sz="0" w:space="0" w:color="auto"/>
        <w:left w:val="none" w:sz="0" w:space="0" w:color="auto"/>
        <w:bottom w:val="none" w:sz="0" w:space="0" w:color="auto"/>
        <w:right w:val="none" w:sz="0" w:space="0" w:color="auto"/>
      </w:divBdr>
    </w:div>
    <w:div w:id="345449645">
      <w:bodyDiv w:val="1"/>
      <w:marLeft w:val="0"/>
      <w:marRight w:val="0"/>
      <w:marTop w:val="0"/>
      <w:marBottom w:val="0"/>
      <w:divBdr>
        <w:top w:val="none" w:sz="0" w:space="0" w:color="auto"/>
        <w:left w:val="none" w:sz="0" w:space="0" w:color="auto"/>
        <w:bottom w:val="none" w:sz="0" w:space="0" w:color="auto"/>
        <w:right w:val="none" w:sz="0" w:space="0" w:color="auto"/>
      </w:divBdr>
    </w:div>
    <w:div w:id="347223638">
      <w:marLeft w:val="0"/>
      <w:marRight w:val="0"/>
      <w:marTop w:val="0"/>
      <w:marBottom w:val="0"/>
      <w:divBdr>
        <w:top w:val="none" w:sz="0" w:space="0" w:color="auto"/>
        <w:left w:val="none" w:sz="0" w:space="0" w:color="auto"/>
        <w:bottom w:val="none" w:sz="0" w:space="0" w:color="auto"/>
        <w:right w:val="none" w:sz="0" w:space="0" w:color="auto"/>
      </w:divBdr>
    </w:div>
    <w:div w:id="397946078">
      <w:bodyDiv w:val="1"/>
      <w:marLeft w:val="0"/>
      <w:marRight w:val="0"/>
      <w:marTop w:val="0"/>
      <w:marBottom w:val="0"/>
      <w:divBdr>
        <w:top w:val="none" w:sz="0" w:space="0" w:color="auto"/>
        <w:left w:val="none" w:sz="0" w:space="0" w:color="auto"/>
        <w:bottom w:val="none" w:sz="0" w:space="0" w:color="auto"/>
        <w:right w:val="none" w:sz="0" w:space="0" w:color="auto"/>
      </w:divBdr>
    </w:div>
    <w:div w:id="462042032">
      <w:bodyDiv w:val="1"/>
      <w:marLeft w:val="0"/>
      <w:marRight w:val="0"/>
      <w:marTop w:val="0"/>
      <w:marBottom w:val="0"/>
      <w:divBdr>
        <w:top w:val="none" w:sz="0" w:space="0" w:color="auto"/>
        <w:left w:val="none" w:sz="0" w:space="0" w:color="auto"/>
        <w:bottom w:val="none" w:sz="0" w:space="0" w:color="auto"/>
        <w:right w:val="none" w:sz="0" w:space="0" w:color="auto"/>
      </w:divBdr>
    </w:div>
    <w:div w:id="499153441">
      <w:bodyDiv w:val="1"/>
      <w:marLeft w:val="0"/>
      <w:marRight w:val="0"/>
      <w:marTop w:val="0"/>
      <w:marBottom w:val="0"/>
      <w:divBdr>
        <w:top w:val="none" w:sz="0" w:space="0" w:color="auto"/>
        <w:left w:val="none" w:sz="0" w:space="0" w:color="auto"/>
        <w:bottom w:val="none" w:sz="0" w:space="0" w:color="auto"/>
        <w:right w:val="none" w:sz="0" w:space="0" w:color="auto"/>
      </w:divBdr>
    </w:div>
    <w:div w:id="530579544">
      <w:bodyDiv w:val="1"/>
      <w:marLeft w:val="0"/>
      <w:marRight w:val="0"/>
      <w:marTop w:val="0"/>
      <w:marBottom w:val="0"/>
      <w:divBdr>
        <w:top w:val="none" w:sz="0" w:space="0" w:color="auto"/>
        <w:left w:val="none" w:sz="0" w:space="0" w:color="auto"/>
        <w:bottom w:val="none" w:sz="0" w:space="0" w:color="auto"/>
        <w:right w:val="none" w:sz="0" w:space="0" w:color="auto"/>
      </w:divBdr>
    </w:div>
    <w:div w:id="591473773">
      <w:bodyDiv w:val="1"/>
      <w:marLeft w:val="0"/>
      <w:marRight w:val="0"/>
      <w:marTop w:val="0"/>
      <w:marBottom w:val="0"/>
      <w:divBdr>
        <w:top w:val="none" w:sz="0" w:space="0" w:color="auto"/>
        <w:left w:val="none" w:sz="0" w:space="0" w:color="auto"/>
        <w:bottom w:val="none" w:sz="0" w:space="0" w:color="auto"/>
        <w:right w:val="none" w:sz="0" w:space="0" w:color="auto"/>
      </w:divBdr>
    </w:div>
    <w:div w:id="608313755">
      <w:bodyDiv w:val="1"/>
      <w:marLeft w:val="0"/>
      <w:marRight w:val="0"/>
      <w:marTop w:val="0"/>
      <w:marBottom w:val="0"/>
      <w:divBdr>
        <w:top w:val="none" w:sz="0" w:space="0" w:color="auto"/>
        <w:left w:val="none" w:sz="0" w:space="0" w:color="auto"/>
        <w:bottom w:val="none" w:sz="0" w:space="0" w:color="auto"/>
        <w:right w:val="none" w:sz="0" w:space="0" w:color="auto"/>
      </w:divBdr>
    </w:div>
    <w:div w:id="612244672">
      <w:bodyDiv w:val="1"/>
      <w:marLeft w:val="0"/>
      <w:marRight w:val="0"/>
      <w:marTop w:val="0"/>
      <w:marBottom w:val="0"/>
      <w:divBdr>
        <w:top w:val="none" w:sz="0" w:space="0" w:color="auto"/>
        <w:left w:val="none" w:sz="0" w:space="0" w:color="auto"/>
        <w:bottom w:val="none" w:sz="0" w:space="0" w:color="auto"/>
        <w:right w:val="none" w:sz="0" w:space="0" w:color="auto"/>
      </w:divBdr>
    </w:div>
    <w:div w:id="628703662">
      <w:bodyDiv w:val="1"/>
      <w:marLeft w:val="0"/>
      <w:marRight w:val="0"/>
      <w:marTop w:val="0"/>
      <w:marBottom w:val="0"/>
      <w:divBdr>
        <w:top w:val="none" w:sz="0" w:space="0" w:color="auto"/>
        <w:left w:val="none" w:sz="0" w:space="0" w:color="auto"/>
        <w:bottom w:val="none" w:sz="0" w:space="0" w:color="auto"/>
        <w:right w:val="none" w:sz="0" w:space="0" w:color="auto"/>
      </w:divBdr>
    </w:div>
    <w:div w:id="645354406">
      <w:bodyDiv w:val="1"/>
      <w:marLeft w:val="0"/>
      <w:marRight w:val="0"/>
      <w:marTop w:val="0"/>
      <w:marBottom w:val="0"/>
      <w:divBdr>
        <w:top w:val="none" w:sz="0" w:space="0" w:color="auto"/>
        <w:left w:val="none" w:sz="0" w:space="0" w:color="auto"/>
        <w:bottom w:val="none" w:sz="0" w:space="0" w:color="auto"/>
        <w:right w:val="none" w:sz="0" w:space="0" w:color="auto"/>
      </w:divBdr>
    </w:div>
    <w:div w:id="651062616">
      <w:bodyDiv w:val="1"/>
      <w:marLeft w:val="0"/>
      <w:marRight w:val="0"/>
      <w:marTop w:val="0"/>
      <w:marBottom w:val="0"/>
      <w:divBdr>
        <w:top w:val="none" w:sz="0" w:space="0" w:color="auto"/>
        <w:left w:val="none" w:sz="0" w:space="0" w:color="auto"/>
        <w:bottom w:val="none" w:sz="0" w:space="0" w:color="auto"/>
        <w:right w:val="none" w:sz="0" w:space="0" w:color="auto"/>
      </w:divBdr>
    </w:div>
    <w:div w:id="739788256">
      <w:bodyDiv w:val="1"/>
      <w:marLeft w:val="0"/>
      <w:marRight w:val="0"/>
      <w:marTop w:val="0"/>
      <w:marBottom w:val="0"/>
      <w:divBdr>
        <w:top w:val="none" w:sz="0" w:space="0" w:color="auto"/>
        <w:left w:val="none" w:sz="0" w:space="0" w:color="auto"/>
        <w:bottom w:val="none" w:sz="0" w:space="0" w:color="auto"/>
        <w:right w:val="none" w:sz="0" w:space="0" w:color="auto"/>
      </w:divBdr>
    </w:div>
    <w:div w:id="756946200">
      <w:bodyDiv w:val="1"/>
      <w:marLeft w:val="0"/>
      <w:marRight w:val="0"/>
      <w:marTop w:val="0"/>
      <w:marBottom w:val="0"/>
      <w:divBdr>
        <w:top w:val="none" w:sz="0" w:space="0" w:color="auto"/>
        <w:left w:val="none" w:sz="0" w:space="0" w:color="auto"/>
        <w:bottom w:val="none" w:sz="0" w:space="0" w:color="auto"/>
        <w:right w:val="none" w:sz="0" w:space="0" w:color="auto"/>
      </w:divBdr>
    </w:div>
    <w:div w:id="799222351">
      <w:bodyDiv w:val="1"/>
      <w:marLeft w:val="0"/>
      <w:marRight w:val="0"/>
      <w:marTop w:val="0"/>
      <w:marBottom w:val="0"/>
      <w:divBdr>
        <w:top w:val="none" w:sz="0" w:space="0" w:color="auto"/>
        <w:left w:val="none" w:sz="0" w:space="0" w:color="auto"/>
        <w:bottom w:val="none" w:sz="0" w:space="0" w:color="auto"/>
        <w:right w:val="none" w:sz="0" w:space="0" w:color="auto"/>
      </w:divBdr>
    </w:div>
    <w:div w:id="814027617">
      <w:bodyDiv w:val="1"/>
      <w:marLeft w:val="0"/>
      <w:marRight w:val="0"/>
      <w:marTop w:val="0"/>
      <w:marBottom w:val="0"/>
      <w:divBdr>
        <w:top w:val="none" w:sz="0" w:space="0" w:color="auto"/>
        <w:left w:val="none" w:sz="0" w:space="0" w:color="auto"/>
        <w:bottom w:val="none" w:sz="0" w:space="0" w:color="auto"/>
        <w:right w:val="none" w:sz="0" w:space="0" w:color="auto"/>
      </w:divBdr>
    </w:div>
    <w:div w:id="823662710">
      <w:bodyDiv w:val="1"/>
      <w:marLeft w:val="0"/>
      <w:marRight w:val="0"/>
      <w:marTop w:val="0"/>
      <w:marBottom w:val="0"/>
      <w:divBdr>
        <w:top w:val="none" w:sz="0" w:space="0" w:color="auto"/>
        <w:left w:val="none" w:sz="0" w:space="0" w:color="auto"/>
        <w:bottom w:val="none" w:sz="0" w:space="0" w:color="auto"/>
        <w:right w:val="none" w:sz="0" w:space="0" w:color="auto"/>
      </w:divBdr>
    </w:div>
    <w:div w:id="844131914">
      <w:bodyDiv w:val="1"/>
      <w:marLeft w:val="0"/>
      <w:marRight w:val="0"/>
      <w:marTop w:val="0"/>
      <w:marBottom w:val="0"/>
      <w:divBdr>
        <w:top w:val="none" w:sz="0" w:space="0" w:color="auto"/>
        <w:left w:val="none" w:sz="0" w:space="0" w:color="auto"/>
        <w:bottom w:val="none" w:sz="0" w:space="0" w:color="auto"/>
        <w:right w:val="none" w:sz="0" w:space="0" w:color="auto"/>
      </w:divBdr>
    </w:div>
    <w:div w:id="846947075">
      <w:bodyDiv w:val="1"/>
      <w:marLeft w:val="0"/>
      <w:marRight w:val="0"/>
      <w:marTop w:val="0"/>
      <w:marBottom w:val="0"/>
      <w:divBdr>
        <w:top w:val="none" w:sz="0" w:space="0" w:color="auto"/>
        <w:left w:val="none" w:sz="0" w:space="0" w:color="auto"/>
        <w:bottom w:val="none" w:sz="0" w:space="0" w:color="auto"/>
        <w:right w:val="none" w:sz="0" w:space="0" w:color="auto"/>
      </w:divBdr>
    </w:div>
    <w:div w:id="853109659">
      <w:bodyDiv w:val="1"/>
      <w:marLeft w:val="0"/>
      <w:marRight w:val="0"/>
      <w:marTop w:val="0"/>
      <w:marBottom w:val="0"/>
      <w:divBdr>
        <w:top w:val="none" w:sz="0" w:space="0" w:color="auto"/>
        <w:left w:val="none" w:sz="0" w:space="0" w:color="auto"/>
        <w:bottom w:val="none" w:sz="0" w:space="0" w:color="auto"/>
        <w:right w:val="none" w:sz="0" w:space="0" w:color="auto"/>
      </w:divBdr>
    </w:div>
    <w:div w:id="853955242">
      <w:bodyDiv w:val="1"/>
      <w:marLeft w:val="0"/>
      <w:marRight w:val="0"/>
      <w:marTop w:val="0"/>
      <w:marBottom w:val="0"/>
      <w:divBdr>
        <w:top w:val="none" w:sz="0" w:space="0" w:color="auto"/>
        <w:left w:val="none" w:sz="0" w:space="0" w:color="auto"/>
        <w:bottom w:val="none" w:sz="0" w:space="0" w:color="auto"/>
        <w:right w:val="none" w:sz="0" w:space="0" w:color="auto"/>
      </w:divBdr>
    </w:div>
    <w:div w:id="861018949">
      <w:bodyDiv w:val="1"/>
      <w:marLeft w:val="0"/>
      <w:marRight w:val="0"/>
      <w:marTop w:val="0"/>
      <w:marBottom w:val="0"/>
      <w:divBdr>
        <w:top w:val="none" w:sz="0" w:space="0" w:color="auto"/>
        <w:left w:val="none" w:sz="0" w:space="0" w:color="auto"/>
        <w:bottom w:val="none" w:sz="0" w:space="0" w:color="auto"/>
        <w:right w:val="none" w:sz="0" w:space="0" w:color="auto"/>
      </w:divBdr>
    </w:div>
    <w:div w:id="867135936">
      <w:bodyDiv w:val="1"/>
      <w:marLeft w:val="0"/>
      <w:marRight w:val="0"/>
      <w:marTop w:val="0"/>
      <w:marBottom w:val="0"/>
      <w:divBdr>
        <w:top w:val="none" w:sz="0" w:space="0" w:color="auto"/>
        <w:left w:val="none" w:sz="0" w:space="0" w:color="auto"/>
        <w:bottom w:val="none" w:sz="0" w:space="0" w:color="auto"/>
        <w:right w:val="none" w:sz="0" w:space="0" w:color="auto"/>
      </w:divBdr>
    </w:div>
    <w:div w:id="907421355">
      <w:bodyDiv w:val="1"/>
      <w:marLeft w:val="0"/>
      <w:marRight w:val="0"/>
      <w:marTop w:val="0"/>
      <w:marBottom w:val="0"/>
      <w:divBdr>
        <w:top w:val="none" w:sz="0" w:space="0" w:color="auto"/>
        <w:left w:val="none" w:sz="0" w:space="0" w:color="auto"/>
        <w:bottom w:val="none" w:sz="0" w:space="0" w:color="auto"/>
        <w:right w:val="none" w:sz="0" w:space="0" w:color="auto"/>
      </w:divBdr>
    </w:div>
    <w:div w:id="938099087">
      <w:bodyDiv w:val="1"/>
      <w:marLeft w:val="0"/>
      <w:marRight w:val="0"/>
      <w:marTop w:val="0"/>
      <w:marBottom w:val="0"/>
      <w:divBdr>
        <w:top w:val="none" w:sz="0" w:space="0" w:color="auto"/>
        <w:left w:val="none" w:sz="0" w:space="0" w:color="auto"/>
        <w:bottom w:val="none" w:sz="0" w:space="0" w:color="auto"/>
        <w:right w:val="none" w:sz="0" w:space="0" w:color="auto"/>
      </w:divBdr>
    </w:div>
    <w:div w:id="965432200">
      <w:bodyDiv w:val="1"/>
      <w:marLeft w:val="0"/>
      <w:marRight w:val="0"/>
      <w:marTop w:val="0"/>
      <w:marBottom w:val="0"/>
      <w:divBdr>
        <w:top w:val="none" w:sz="0" w:space="0" w:color="auto"/>
        <w:left w:val="none" w:sz="0" w:space="0" w:color="auto"/>
        <w:bottom w:val="none" w:sz="0" w:space="0" w:color="auto"/>
        <w:right w:val="none" w:sz="0" w:space="0" w:color="auto"/>
      </w:divBdr>
    </w:div>
    <w:div w:id="974025043">
      <w:bodyDiv w:val="1"/>
      <w:marLeft w:val="0"/>
      <w:marRight w:val="0"/>
      <w:marTop w:val="0"/>
      <w:marBottom w:val="0"/>
      <w:divBdr>
        <w:top w:val="none" w:sz="0" w:space="0" w:color="auto"/>
        <w:left w:val="none" w:sz="0" w:space="0" w:color="auto"/>
        <w:bottom w:val="none" w:sz="0" w:space="0" w:color="auto"/>
        <w:right w:val="none" w:sz="0" w:space="0" w:color="auto"/>
      </w:divBdr>
    </w:div>
    <w:div w:id="976228222">
      <w:bodyDiv w:val="1"/>
      <w:marLeft w:val="0"/>
      <w:marRight w:val="0"/>
      <w:marTop w:val="0"/>
      <w:marBottom w:val="0"/>
      <w:divBdr>
        <w:top w:val="none" w:sz="0" w:space="0" w:color="auto"/>
        <w:left w:val="none" w:sz="0" w:space="0" w:color="auto"/>
        <w:bottom w:val="none" w:sz="0" w:space="0" w:color="auto"/>
        <w:right w:val="none" w:sz="0" w:space="0" w:color="auto"/>
      </w:divBdr>
    </w:div>
    <w:div w:id="1024937794">
      <w:bodyDiv w:val="1"/>
      <w:marLeft w:val="0"/>
      <w:marRight w:val="0"/>
      <w:marTop w:val="0"/>
      <w:marBottom w:val="0"/>
      <w:divBdr>
        <w:top w:val="none" w:sz="0" w:space="0" w:color="auto"/>
        <w:left w:val="none" w:sz="0" w:space="0" w:color="auto"/>
        <w:bottom w:val="none" w:sz="0" w:space="0" w:color="auto"/>
        <w:right w:val="none" w:sz="0" w:space="0" w:color="auto"/>
      </w:divBdr>
    </w:div>
    <w:div w:id="1040284950">
      <w:bodyDiv w:val="1"/>
      <w:marLeft w:val="0"/>
      <w:marRight w:val="0"/>
      <w:marTop w:val="0"/>
      <w:marBottom w:val="0"/>
      <w:divBdr>
        <w:top w:val="none" w:sz="0" w:space="0" w:color="auto"/>
        <w:left w:val="none" w:sz="0" w:space="0" w:color="auto"/>
        <w:bottom w:val="none" w:sz="0" w:space="0" w:color="auto"/>
        <w:right w:val="none" w:sz="0" w:space="0" w:color="auto"/>
      </w:divBdr>
    </w:div>
    <w:div w:id="1046637677">
      <w:bodyDiv w:val="1"/>
      <w:marLeft w:val="0"/>
      <w:marRight w:val="0"/>
      <w:marTop w:val="0"/>
      <w:marBottom w:val="0"/>
      <w:divBdr>
        <w:top w:val="none" w:sz="0" w:space="0" w:color="auto"/>
        <w:left w:val="none" w:sz="0" w:space="0" w:color="auto"/>
        <w:bottom w:val="none" w:sz="0" w:space="0" w:color="auto"/>
        <w:right w:val="none" w:sz="0" w:space="0" w:color="auto"/>
      </w:divBdr>
    </w:div>
    <w:div w:id="1058746450">
      <w:bodyDiv w:val="1"/>
      <w:marLeft w:val="0"/>
      <w:marRight w:val="0"/>
      <w:marTop w:val="0"/>
      <w:marBottom w:val="0"/>
      <w:divBdr>
        <w:top w:val="none" w:sz="0" w:space="0" w:color="auto"/>
        <w:left w:val="none" w:sz="0" w:space="0" w:color="auto"/>
        <w:bottom w:val="none" w:sz="0" w:space="0" w:color="auto"/>
        <w:right w:val="none" w:sz="0" w:space="0" w:color="auto"/>
      </w:divBdr>
    </w:div>
    <w:div w:id="1087772663">
      <w:bodyDiv w:val="1"/>
      <w:marLeft w:val="0"/>
      <w:marRight w:val="0"/>
      <w:marTop w:val="0"/>
      <w:marBottom w:val="0"/>
      <w:divBdr>
        <w:top w:val="none" w:sz="0" w:space="0" w:color="auto"/>
        <w:left w:val="none" w:sz="0" w:space="0" w:color="auto"/>
        <w:bottom w:val="none" w:sz="0" w:space="0" w:color="auto"/>
        <w:right w:val="none" w:sz="0" w:space="0" w:color="auto"/>
      </w:divBdr>
    </w:div>
    <w:div w:id="1095173608">
      <w:bodyDiv w:val="1"/>
      <w:marLeft w:val="0"/>
      <w:marRight w:val="0"/>
      <w:marTop w:val="0"/>
      <w:marBottom w:val="0"/>
      <w:divBdr>
        <w:top w:val="none" w:sz="0" w:space="0" w:color="auto"/>
        <w:left w:val="none" w:sz="0" w:space="0" w:color="auto"/>
        <w:bottom w:val="none" w:sz="0" w:space="0" w:color="auto"/>
        <w:right w:val="none" w:sz="0" w:space="0" w:color="auto"/>
      </w:divBdr>
    </w:div>
    <w:div w:id="1111825626">
      <w:bodyDiv w:val="1"/>
      <w:marLeft w:val="0"/>
      <w:marRight w:val="0"/>
      <w:marTop w:val="0"/>
      <w:marBottom w:val="0"/>
      <w:divBdr>
        <w:top w:val="none" w:sz="0" w:space="0" w:color="auto"/>
        <w:left w:val="none" w:sz="0" w:space="0" w:color="auto"/>
        <w:bottom w:val="none" w:sz="0" w:space="0" w:color="auto"/>
        <w:right w:val="none" w:sz="0" w:space="0" w:color="auto"/>
      </w:divBdr>
    </w:div>
    <w:div w:id="1149398061">
      <w:bodyDiv w:val="1"/>
      <w:marLeft w:val="0"/>
      <w:marRight w:val="0"/>
      <w:marTop w:val="0"/>
      <w:marBottom w:val="0"/>
      <w:divBdr>
        <w:top w:val="none" w:sz="0" w:space="0" w:color="auto"/>
        <w:left w:val="none" w:sz="0" w:space="0" w:color="auto"/>
        <w:bottom w:val="none" w:sz="0" w:space="0" w:color="auto"/>
        <w:right w:val="none" w:sz="0" w:space="0" w:color="auto"/>
      </w:divBdr>
    </w:div>
    <w:div w:id="1156729276">
      <w:bodyDiv w:val="1"/>
      <w:marLeft w:val="0"/>
      <w:marRight w:val="0"/>
      <w:marTop w:val="0"/>
      <w:marBottom w:val="0"/>
      <w:divBdr>
        <w:top w:val="none" w:sz="0" w:space="0" w:color="auto"/>
        <w:left w:val="none" w:sz="0" w:space="0" w:color="auto"/>
        <w:bottom w:val="none" w:sz="0" w:space="0" w:color="auto"/>
        <w:right w:val="none" w:sz="0" w:space="0" w:color="auto"/>
      </w:divBdr>
    </w:div>
    <w:div w:id="1171719047">
      <w:bodyDiv w:val="1"/>
      <w:marLeft w:val="0"/>
      <w:marRight w:val="0"/>
      <w:marTop w:val="0"/>
      <w:marBottom w:val="0"/>
      <w:divBdr>
        <w:top w:val="none" w:sz="0" w:space="0" w:color="auto"/>
        <w:left w:val="none" w:sz="0" w:space="0" w:color="auto"/>
        <w:bottom w:val="none" w:sz="0" w:space="0" w:color="auto"/>
        <w:right w:val="none" w:sz="0" w:space="0" w:color="auto"/>
      </w:divBdr>
    </w:div>
    <w:div w:id="1207910350">
      <w:bodyDiv w:val="1"/>
      <w:marLeft w:val="0"/>
      <w:marRight w:val="0"/>
      <w:marTop w:val="0"/>
      <w:marBottom w:val="0"/>
      <w:divBdr>
        <w:top w:val="none" w:sz="0" w:space="0" w:color="auto"/>
        <w:left w:val="none" w:sz="0" w:space="0" w:color="auto"/>
        <w:bottom w:val="none" w:sz="0" w:space="0" w:color="auto"/>
        <w:right w:val="none" w:sz="0" w:space="0" w:color="auto"/>
      </w:divBdr>
    </w:div>
    <w:div w:id="1253972781">
      <w:bodyDiv w:val="1"/>
      <w:marLeft w:val="0"/>
      <w:marRight w:val="0"/>
      <w:marTop w:val="0"/>
      <w:marBottom w:val="0"/>
      <w:divBdr>
        <w:top w:val="none" w:sz="0" w:space="0" w:color="auto"/>
        <w:left w:val="none" w:sz="0" w:space="0" w:color="auto"/>
        <w:bottom w:val="none" w:sz="0" w:space="0" w:color="auto"/>
        <w:right w:val="none" w:sz="0" w:space="0" w:color="auto"/>
      </w:divBdr>
    </w:div>
    <w:div w:id="1275016088">
      <w:bodyDiv w:val="1"/>
      <w:marLeft w:val="0"/>
      <w:marRight w:val="0"/>
      <w:marTop w:val="0"/>
      <w:marBottom w:val="0"/>
      <w:divBdr>
        <w:top w:val="none" w:sz="0" w:space="0" w:color="auto"/>
        <w:left w:val="none" w:sz="0" w:space="0" w:color="auto"/>
        <w:bottom w:val="none" w:sz="0" w:space="0" w:color="auto"/>
        <w:right w:val="none" w:sz="0" w:space="0" w:color="auto"/>
      </w:divBdr>
    </w:div>
    <w:div w:id="1282764452">
      <w:bodyDiv w:val="1"/>
      <w:marLeft w:val="0"/>
      <w:marRight w:val="0"/>
      <w:marTop w:val="0"/>
      <w:marBottom w:val="0"/>
      <w:divBdr>
        <w:top w:val="none" w:sz="0" w:space="0" w:color="auto"/>
        <w:left w:val="none" w:sz="0" w:space="0" w:color="auto"/>
        <w:bottom w:val="none" w:sz="0" w:space="0" w:color="auto"/>
        <w:right w:val="none" w:sz="0" w:space="0" w:color="auto"/>
      </w:divBdr>
    </w:div>
    <w:div w:id="1306350685">
      <w:bodyDiv w:val="1"/>
      <w:marLeft w:val="0"/>
      <w:marRight w:val="0"/>
      <w:marTop w:val="0"/>
      <w:marBottom w:val="0"/>
      <w:divBdr>
        <w:top w:val="none" w:sz="0" w:space="0" w:color="auto"/>
        <w:left w:val="none" w:sz="0" w:space="0" w:color="auto"/>
        <w:bottom w:val="none" w:sz="0" w:space="0" w:color="auto"/>
        <w:right w:val="none" w:sz="0" w:space="0" w:color="auto"/>
      </w:divBdr>
    </w:div>
    <w:div w:id="1321615826">
      <w:bodyDiv w:val="1"/>
      <w:marLeft w:val="0"/>
      <w:marRight w:val="0"/>
      <w:marTop w:val="0"/>
      <w:marBottom w:val="0"/>
      <w:divBdr>
        <w:top w:val="none" w:sz="0" w:space="0" w:color="auto"/>
        <w:left w:val="none" w:sz="0" w:space="0" w:color="auto"/>
        <w:bottom w:val="none" w:sz="0" w:space="0" w:color="auto"/>
        <w:right w:val="none" w:sz="0" w:space="0" w:color="auto"/>
      </w:divBdr>
    </w:div>
    <w:div w:id="1362707919">
      <w:marLeft w:val="0"/>
      <w:marRight w:val="0"/>
      <w:marTop w:val="0"/>
      <w:marBottom w:val="0"/>
      <w:divBdr>
        <w:top w:val="none" w:sz="0" w:space="0" w:color="auto"/>
        <w:left w:val="none" w:sz="0" w:space="0" w:color="auto"/>
        <w:bottom w:val="none" w:sz="0" w:space="0" w:color="auto"/>
        <w:right w:val="none" w:sz="0" w:space="0" w:color="auto"/>
      </w:divBdr>
    </w:div>
    <w:div w:id="1382094406">
      <w:bodyDiv w:val="1"/>
      <w:marLeft w:val="0"/>
      <w:marRight w:val="0"/>
      <w:marTop w:val="0"/>
      <w:marBottom w:val="0"/>
      <w:divBdr>
        <w:top w:val="none" w:sz="0" w:space="0" w:color="auto"/>
        <w:left w:val="none" w:sz="0" w:space="0" w:color="auto"/>
        <w:bottom w:val="none" w:sz="0" w:space="0" w:color="auto"/>
        <w:right w:val="none" w:sz="0" w:space="0" w:color="auto"/>
      </w:divBdr>
    </w:div>
    <w:div w:id="1390836304">
      <w:bodyDiv w:val="1"/>
      <w:marLeft w:val="0"/>
      <w:marRight w:val="0"/>
      <w:marTop w:val="0"/>
      <w:marBottom w:val="0"/>
      <w:divBdr>
        <w:top w:val="none" w:sz="0" w:space="0" w:color="auto"/>
        <w:left w:val="none" w:sz="0" w:space="0" w:color="auto"/>
        <w:bottom w:val="none" w:sz="0" w:space="0" w:color="auto"/>
        <w:right w:val="none" w:sz="0" w:space="0" w:color="auto"/>
      </w:divBdr>
    </w:div>
    <w:div w:id="1435247472">
      <w:bodyDiv w:val="1"/>
      <w:marLeft w:val="0"/>
      <w:marRight w:val="0"/>
      <w:marTop w:val="0"/>
      <w:marBottom w:val="0"/>
      <w:divBdr>
        <w:top w:val="none" w:sz="0" w:space="0" w:color="auto"/>
        <w:left w:val="none" w:sz="0" w:space="0" w:color="auto"/>
        <w:bottom w:val="none" w:sz="0" w:space="0" w:color="auto"/>
        <w:right w:val="none" w:sz="0" w:space="0" w:color="auto"/>
      </w:divBdr>
    </w:div>
    <w:div w:id="1457330803">
      <w:bodyDiv w:val="1"/>
      <w:marLeft w:val="0"/>
      <w:marRight w:val="0"/>
      <w:marTop w:val="0"/>
      <w:marBottom w:val="0"/>
      <w:divBdr>
        <w:top w:val="none" w:sz="0" w:space="0" w:color="auto"/>
        <w:left w:val="none" w:sz="0" w:space="0" w:color="auto"/>
        <w:bottom w:val="none" w:sz="0" w:space="0" w:color="auto"/>
        <w:right w:val="none" w:sz="0" w:space="0" w:color="auto"/>
      </w:divBdr>
    </w:div>
    <w:div w:id="1458717977">
      <w:bodyDiv w:val="1"/>
      <w:marLeft w:val="0"/>
      <w:marRight w:val="0"/>
      <w:marTop w:val="0"/>
      <w:marBottom w:val="0"/>
      <w:divBdr>
        <w:top w:val="none" w:sz="0" w:space="0" w:color="auto"/>
        <w:left w:val="none" w:sz="0" w:space="0" w:color="auto"/>
        <w:bottom w:val="none" w:sz="0" w:space="0" w:color="auto"/>
        <w:right w:val="none" w:sz="0" w:space="0" w:color="auto"/>
      </w:divBdr>
    </w:div>
    <w:div w:id="1474173220">
      <w:bodyDiv w:val="1"/>
      <w:marLeft w:val="0"/>
      <w:marRight w:val="0"/>
      <w:marTop w:val="0"/>
      <w:marBottom w:val="0"/>
      <w:divBdr>
        <w:top w:val="none" w:sz="0" w:space="0" w:color="auto"/>
        <w:left w:val="none" w:sz="0" w:space="0" w:color="auto"/>
        <w:bottom w:val="none" w:sz="0" w:space="0" w:color="auto"/>
        <w:right w:val="none" w:sz="0" w:space="0" w:color="auto"/>
      </w:divBdr>
    </w:div>
    <w:div w:id="1495416418">
      <w:bodyDiv w:val="1"/>
      <w:marLeft w:val="0"/>
      <w:marRight w:val="0"/>
      <w:marTop w:val="0"/>
      <w:marBottom w:val="0"/>
      <w:divBdr>
        <w:top w:val="none" w:sz="0" w:space="0" w:color="auto"/>
        <w:left w:val="none" w:sz="0" w:space="0" w:color="auto"/>
        <w:bottom w:val="none" w:sz="0" w:space="0" w:color="auto"/>
        <w:right w:val="none" w:sz="0" w:space="0" w:color="auto"/>
      </w:divBdr>
    </w:div>
    <w:div w:id="1505431873">
      <w:bodyDiv w:val="1"/>
      <w:marLeft w:val="0"/>
      <w:marRight w:val="0"/>
      <w:marTop w:val="0"/>
      <w:marBottom w:val="0"/>
      <w:divBdr>
        <w:top w:val="none" w:sz="0" w:space="0" w:color="auto"/>
        <w:left w:val="none" w:sz="0" w:space="0" w:color="auto"/>
        <w:bottom w:val="none" w:sz="0" w:space="0" w:color="auto"/>
        <w:right w:val="none" w:sz="0" w:space="0" w:color="auto"/>
      </w:divBdr>
    </w:div>
    <w:div w:id="1513757047">
      <w:bodyDiv w:val="1"/>
      <w:marLeft w:val="0"/>
      <w:marRight w:val="0"/>
      <w:marTop w:val="0"/>
      <w:marBottom w:val="0"/>
      <w:divBdr>
        <w:top w:val="none" w:sz="0" w:space="0" w:color="auto"/>
        <w:left w:val="none" w:sz="0" w:space="0" w:color="auto"/>
        <w:bottom w:val="none" w:sz="0" w:space="0" w:color="auto"/>
        <w:right w:val="none" w:sz="0" w:space="0" w:color="auto"/>
      </w:divBdr>
    </w:div>
    <w:div w:id="1517649038">
      <w:bodyDiv w:val="1"/>
      <w:marLeft w:val="0"/>
      <w:marRight w:val="0"/>
      <w:marTop w:val="0"/>
      <w:marBottom w:val="0"/>
      <w:divBdr>
        <w:top w:val="none" w:sz="0" w:space="0" w:color="auto"/>
        <w:left w:val="none" w:sz="0" w:space="0" w:color="auto"/>
        <w:bottom w:val="none" w:sz="0" w:space="0" w:color="auto"/>
        <w:right w:val="none" w:sz="0" w:space="0" w:color="auto"/>
      </w:divBdr>
    </w:div>
    <w:div w:id="1528829294">
      <w:bodyDiv w:val="1"/>
      <w:marLeft w:val="0"/>
      <w:marRight w:val="0"/>
      <w:marTop w:val="0"/>
      <w:marBottom w:val="0"/>
      <w:divBdr>
        <w:top w:val="none" w:sz="0" w:space="0" w:color="auto"/>
        <w:left w:val="none" w:sz="0" w:space="0" w:color="auto"/>
        <w:bottom w:val="none" w:sz="0" w:space="0" w:color="auto"/>
        <w:right w:val="none" w:sz="0" w:space="0" w:color="auto"/>
      </w:divBdr>
    </w:div>
    <w:div w:id="1540312912">
      <w:bodyDiv w:val="1"/>
      <w:marLeft w:val="0"/>
      <w:marRight w:val="0"/>
      <w:marTop w:val="0"/>
      <w:marBottom w:val="0"/>
      <w:divBdr>
        <w:top w:val="none" w:sz="0" w:space="0" w:color="auto"/>
        <w:left w:val="none" w:sz="0" w:space="0" w:color="auto"/>
        <w:bottom w:val="none" w:sz="0" w:space="0" w:color="auto"/>
        <w:right w:val="none" w:sz="0" w:space="0" w:color="auto"/>
      </w:divBdr>
    </w:div>
    <w:div w:id="1554343583">
      <w:bodyDiv w:val="1"/>
      <w:marLeft w:val="0"/>
      <w:marRight w:val="0"/>
      <w:marTop w:val="0"/>
      <w:marBottom w:val="0"/>
      <w:divBdr>
        <w:top w:val="none" w:sz="0" w:space="0" w:color="auto"/>
        <w:left w:val="none" w:sz="0" w:space="0" w:color="auto"/>
        <w:bottom w:val="none" w:sz="0" w:space="0" w:color="auto"/>
        <w:right w:val="none" w:sz="0" w:space="0" w:color="auto"/>
      </w:divBdr>
    </w:div>
    <w:div w:id="1560242064">
      <w:bodyDiv w:val="1"/>
      <w:marLeft w:val="0"/>
      <w:marRight w:val="0"/>
      <w:marTop w:val="0"/>
      <w:marBottom w:val="0"/>
      <w:divBdr>
        <w:top w:val="none" w:sz="0" w:space="0" w:color="auto"/>
        <w:left w:val="none" w:sz="0" w:space="0" w:color="auto"/>
        <w:bottom w:val="none" w:sz="0" w:space="0" w:color="auto"/>
        <w:right w:val="none" w:sz="0" w:space="0" w:color="auto"/>
      </w:divBdr>
    </w:div>
    <w:div w:id="1605070269">
      <w:bodyDiv w:val="1"/>
      <w:marLeft w:val="0"/>
      <w:marRight w:val="0"/>
      <w:marTop w:val="0"/>
      <w:marBottom w:val="0"/>
      <w:divBdr>
        <w:top w:val="none" w:sz="0" w:space="0" w:color="auto"/>
        <w:left w:val="none" w:sz="0" w:space="0" w:color="auto"/>
        <w:bottom w:val="none" w:sz="0" w:space="0" w:color="auto"/>
        <w:right w:val="none" w:sz="0" w:space="0" w:color="auto"/>
      </w:divBdr>
    </w:div>
    <w:div w:id="1606695632">
      <w:bodyDiv w:val="1"/>
      <w:marLeft w:val="0"/>
      <w:marRight w:val="0"/>
      <w:marTop w:val="0"/>
      <w:marBottom w:val="0"/>
      <w:divBdr>
        <w:top w:val="none" w:sz="0" w:space="0" w:color="auto"/>
        <w:left w:val="none" w:sz="0" w:space="0" w:color="auto"/>
        <w:bottom w:val="none" w:sz="0" w:space="0" w:color="auto"/>
        <w:right w:val="none" w:sz="0" w:space="0" w:color="auto"/>
      </w:divBdr>
    </w:div>
    <w:div w:id="1609659838">
      <w:bodyDiv w:val="1"/>
      <w:marLeft w:val="0"/>
      <w:marRight w:val="0"/>
      <w:marTop w:val="0"/>
      <w:marBottom w:val="0"/>
      <w:divBdr>
        <w:top w:val="none" w:sz="0" w:space="0" w:color="auto"/>
        <w:left w:val="none" w:sz="0" w:space="0" w:color="auto"/>
        <w:bottom w:val="none" w:sz="0" w:space="0" w:color="auto"/>
        <w:right w:val="none" w:sz="0" w:space="0" w:color="auto"/>
      </w:divBdr>
    </w:div>
    <w:div w:id="1656493685">
      <w:bodyDiv w:val="1"/>
      <w:marLeft w:val="0"/>
      <w:marRight w:val="0"/>
      <w:marTop w:val="0"/>
      <w:marBottom w:val="0"/>
      <w:divBdr>
        <w:top w:val="none" w:sz="0" w:space="0" w:color="auto"/>
        <w:left w:val="none" w:sz="0" w:space="0" w:color="auto"/>
        <w:bottom w:val="none" w:sz="0" w:space="0" w:color="auto"/>
        <w:right w:val="none" w:sz="0" w:space="0" w:color="auto"/>
      </w:divBdr>
    </w:div>
    <w:div w:id="1704357003">
      <w:bodyDiv w:val="1"/>
      <w:marLeft w:val="0"/>
      <w:marRight w:val="0"/>
      <w:marTop w:val="0"/>
      <w:marBottom w:val="0"/>
      <w:divBdr>
        <w:top w:val="none" w:sz="0" w:space="0" w:color="auto"/>
        <w:left w:val="none" w:sz="0" w:space="0" w:color="auto"/>
        <w:bottom w:val="none" w:sz="0" w:space="0" w:color="auto"/>
        <w:right w:val="none" w:sz="0" w:space="0" w:color="auto"/>
      </w:divBdr>
    </w:div>
    <w:div w:id="1716463149">
      <w:bodyDiv w:val="1"/>
      <w:marLeft w:val="0"/>
      <w:marRight w:val="0"/>
      <w:marTop w:val="0"/>
      <w:marBottom w:val="0"/>
      <w:divBdr>
        <w:top w:val="none" w:sz="0" w:space="0" w:color="auto"/>
        <w:left w:val="none" w:sz="0" w:space="0" w:color="auto"/>
        <w:bottom w:val="none" w:sz="0" w:space="0" w:color="auto"/>
        <w:right w:val="none" w:sz="0" w:space="0" w:color="auto"/>
      </w:divBdr>
    </w:div>
    <w:div w:id="1775592992">
      <w:bodyDiv w:val="1"/>
      <w:marLeft w:val="0"/>
      <w:marRight w:val="0"/>
      <w:marTop w:val="0"/>
      <w:marBottom w:val="0"/>
      <w:divBdr>
        <w:top w:val="none" w:sz="0" w:space="0" w:color="auto"/>
        <w:left w:val="none" w:sz="0" w:space="0" w:color="auto"/>
        <w:bottom w:val="none" w:sz="0" w:space="0" w:color="auto"/>
        <w:right w:val="none" w:sz="0" w:space="0" w:color="auto"/>
      </w:divBdr>
    </w:div>
    <w:div w:id="1795253358">
      <w:bodyDiv w:val="1"/>
      <w:marLeft w:val="0"/>
      <w:marRight w:val="0"/>
      <w:marTop w:val="0"/>
      <w:marBottom w:val="0"/>
      <w:divBdr>
        <w:top w:val="none" w:sz="0" w:space="0" w:color="auto"/>
        <w:left w:val="none" w:sz="0" w:space="0" w:color="auto"/>
        <w:bottom w:val="none" w:sz="0" w:space="0" w:color="auto"/>
        <w:right w:val="none" w:sz="0" w:space="0" w:color="auto"/>
      </w:divBdr>
    </w:div>
    <w:div w:id="1812744006">
      <w:bodyDiv w:val="1"/>
      <w:marLeft w:val="0"/>
      <w:marRight w:val="0"/>
      <w:marTop w:val="0"/>
      <w:marBottom w:val="0"/>
      <w:divBdr>
        <w:top w:val="none" w:sz="0" w:space="0" w:color="auto"/>
        <w:left w:val="none" w:sz="0" w:space="0" w:color="auto"/>
        <w:bottom w:val="none" w:sz="0" w:space="0" w:color="auto"/>
        <w:right w:val="none" w:sz="0" w:space="0" w:color="auto"/>
      </w:divBdr>
    </w:div>
    <w:div w:id="1814712676">
      <w:bodyDiv w:val="1"/>
      <w:marLeft w:val="0"/>
      <w:marRight w:val="0"/>
      <w:marTop w:val="0"/>
      <w:marBottom w:val="0"/>
      <w:divBdr>
        <w:top w:val="none" w:sz="0" w:space="0" w:color="auto"/>
        <w:left w:val="none" w:sz="0" w:space="0" w:color="auto"/>
        <w:bottom w:val="none" w:sz="0" w:space="0" w:color="auto"/>
        <w:right w:val="none" w:sz="0" w:space="0" w:color="auto"/>
      </w:divBdr>
    </w:div>
    <w:div w:id="1832409073">
      <w:bodyDiv w:val="1"/>
      <w:marLeft w:val="0"/>
      <w:marRight w:val="0"/>
      <w:marTop w:val="0"/>
      <w:marBottom w:val="0"/>
      <w:divBdr>
        <w:top w:val="none" w:sz="0" w:space="0" w:color="auto"/>
        <w:left w:val="none" w:sz="0" w:space="0" w:color="auto"/>
        <w:bottom w:val="none" w:sz="0" w:space="0" w:color="auto"/>
        <w:right w:val="none" w:sz="0" w:space="0" w:color="auto"/>
      </w:divBdr>
    </w:div>
    <w:div w:id="1836216383">
      <w:marLeft w:val="0"/>
      <w:marRight w:val="0"/>
      <w:marTop w:val="0"/>
      <w:marBottom w:val="0"/>
      <w:divBdr>
        <w:top w:val="none" w:sz="0" w:space="0" w:color="auto"/>
        <w:left w:val="none" w:sz="0" w:space="0" w:color="auto"/>
        <w:bottom w:val="none" w:sz="0" w:space="0" w:color="auto"/>
        <w:right w:val="none" w:sz="0" w:space="0" w:color="auto"/>
      </w:divBdr>
    </w:div>
    <w:div w:id="1841969511">
      <w:bodyDiv w:val="1"/>
      <w:marLeft w:val="0"/>
      <w:marRight w:val="0"/>
      <w:marTop w:val="0"/>
      <w:marBottom w:val="0"/>
      <w:divBdr>
        <w:top w:val="none" w:sz="0" w:space="0" w:color="auto"/>
        <w:left w:val="none" w:sz="0" w:space="0" w:color="auto"/>
        <w:bottom w:val="none" w:sz="0" w:space="0" w:color="auto"/>
        <w:right w:val="none" w:sz="0" w:space="0" w:color="auto"/>
      </w:divBdr>
    </w:div>
    <w:div w:id="1846437384">
      <w:bodyDiv w:val="1"/>
      <w:marLeft w:val="0"/>
      <w:marRight w:val="0"/>
      <w:marTop w:val="0"/>
      <w:marBottom w:val="0"/>
      <w:divBdr>
        <w:top w:val="none" w:sz="0" w:space="0" w:color="auto"/>
        <w:left w:val="none" w:sz="0" w:space="0" w:color="auto"/>
        <w:bottom w:val="none" w:sz="0" w:space="0" w:color="auto"/>
        <w:right w:val="none" w:sz="0" w:space="0" w:color="auto"/>
      </w:divBdr>
    </w:div>
    <w:div w:id="1863471523">
      <w:bodyDiv w:val="1"/>
      <w:marLeft w:val="0"/>
      <w:marRight w:val="0"/>
      <w:marTop w:val="0"/>
      <w:marBottom w:val="0"/>
      <w:divBdr>
        <w:top w:val="none" w:sz="0" w:space="0" w:color="auto"/>
        <w:left w:val="none" w:sz="0" w:space="0" w:color="auto"/>
        <w:bottom w:val="none" w:sz="0" w:space="0" w:color="auto"/>
        <w:right w:val="none" w:sz="0" w:space="0" w:color="auto"/>
      </w:divBdr>
    </w:div>
    <w:div w:id="1876039949">
      <w:bodyDiv w:val="1"/>
      <w:marLeft w:val="0"/>
      <w:marRight w:val="0"/>
      <w:marTop w:val="0"/>
      <w:marBottom w:val="0"/>
      <w:divBdr>
        <w:top w:val="none" w:sz="0" w:space="0" w:color="auto"/>
        <w:left w:val="none" w:sz="0" w:space="0" w:color="auto"/>
        <w:bottom w:val="none" w:sz="0" w:space="0" w:color="auto"/>
        <w:right w:val="none" w:sz="0" w:space="0" w:color="auto"/>
      </w:divBdr>
    </w:div>
    <w:div w:id="1917470564">
      <w:bodyDiv w:val="1"/>
      <w:marLeft w:val="0"/>
      <w:marRight w:val="0"/>
      <w:marTop w:val="0"/>
      <w:marBottom w:val="0"/>
      <w:divBdr>
        <w:top w:val="none" w:sz="0" w:space="0" w:color="auto"/>
        <w:left w:val="none" w:sz="0" w:space="0" w:color="auto"/>
        <w:bottom w:val="none" w:sz="0" w:space="0" w:color="auto"/>
        <w:right w:val="none" w:sz="0" w:space="0" w:color="auto"/>
      </w:divBdr>
    </w:div>
    <w:div w:id="1929773145">
      <w:bodyDiv w:val="1"/>
      <w:marLeft w:val="0"/>
      <w:marRight w:val="0"/>
      <w:marTop w:val="0"/>
      <w:marBottom w:val="0"/>
      <w:divBdr>
        <w:top w:val="none" w:sz="0" w:space="0" w:color="auto"/>
        <w:left w:val="none" w:sz="0" w:space="0" w:color="auto"/>
        <w:bottom w:val="none" w:sz="0" w:space="0" w:color="auto"/>
        <w:right w:val="none" w:sz="0" w:space="0" w:color="auto"/>
      </w:divBdr>
    </w:div>
    <w:div w:id="1946645380">
      <w:bodyDiv w:val="1"/>
      <w:marLeft w:val="0"/>
      <w:marRight w:val="0"/>
      <w:marTop w:val="0"/>
      <w:marBottom w:val="0"/>
      <w:divBdr>
        <w:top w:val="none" w:sz="0" w:space="0" w:color="auto"/>
        <w:left w:val="none" w:sz="0" w:space="0" w:color="auto"/>
        <w:bottom w:val="none" w:sz="0" w:space="0" w:color="auto"/>
        <w:right w:val="none" w:sz="0" w:space="0" w:color="auto"/>
      </w:divBdr>
    </w:div>
    <w:div w:id="1946770801">
      <w:bodyDiv w:val="1"/>
      <w:marLeft w:val="0"/>
      <w:marRight w:val="0"/>
      <w:marTop w:val="0"/>
      <w:marBottom w:val="0"/>
      <w:divBdr>
        <w:top w:val="none" w:sz="0" w:space="0" w:color="auto"/>
        <w:left w:val="none" w:sz="0" w:space="0" w:color="auto"/>
        <w:bottom w:val="none" w:sz="0" w:space="0" w:color="auto"/>
        <w:right w:val="none" w:sz="0" w:space="0" w:color="auto"/>
      </w:divBdr>
    </w:div>
    <w:div w:id="1996257226">
      <w:bodyDiv w:val="1"/>
      <w:marLeft w:val="0"/>
      <w:marRight w:val="0"/>
      <w:marTop w:val="0"/>
      <w:marBottom w:val="0"/>
      <w:divBdr>
        <w:top w:val="none" w:sz="0" w:space="0" w:color="auto"/>
        <w:left w:val="none" w:sz="0" w:space="0" w:color="auto"/>
        <w:bottom w:val="none" w:sz="0" w:space="0" w:color="auto"/>
        <w:right w:val="none" w:sz="0" w:space="0" w:color="auto"/>
      </w:divBdr>
    </w:div>
    <w:div w:id="2018606333">
      <w:bodyDiv w:val="1"/>
      <w:marLeft w:val="0"/>
      <w:marRight w:val="0"/>
      <w:marTop w:val="0"/>
      <w:marBottom w:val="0"/>
      <w:divBdr>
        <w:top w:val="none" w:sz="0" w:space="0" w:color="auto"/>
        <w:left w:val="none" w:sz="0" w:space="0" w:color="auto"/>
        <w:bottom w:val="none" w:sz="0" w:space="0" w:color="auto"/>
        <w:right w:val="none" w:sz="0" w:space="0" w:color="auto"/>
      </w:divBdr>
    </w:div>
    <w:div w:id="2045475278">
      <w:bodyDiv w:val="1"/>
      <w:marLeft w:val="0"/>
      <w:marRight w:val="0"/>
      <w:marTop w:val="0"/>
      <w:marBottom w:val="0"/>
      <w:divBdr>
        <w:top w:val="none" w:sz="0" w:space="0" w:color="auto"/>
        <w:left w:val="none" w:sz="0" w:space="0" w:color="auto"/>
        <w:bottom w:val="none" w:sz="0" w:space="0" w:color="auto"/>
        <w:right w:val="none" w:sz="0" w:space="0" w:color="auto"/>
      </w:divBdr>
    </w:div>
    <w:div w:id="2052924224">
      <w:bodyDiv w:val="1"/>
      <w:marLeft w:val="0"/>
      <w:marRight w:val="0"/>
      <w:marTop w:val="0"/>
      <w:marBottom w:val="0"/>
      <w:divBdr>
        <w:top w:val="none" w:sz="0" w:space="0" w:color="auto"/>
        <w:left w:val="none" w:sz="0" w:space="0" w:color="auto"/>
        <w:bottom w:val="none" w:sz="0" w:space="0" w:color="auto"/>
        <w:right w:val="none" w:sz="0" w:space="0" w:color="auto"/>
      </w:divBdr>
    </w:div>
    <w:div w:id="2053268535">
      <w:bodyDiv w:val="1"/>
      <w:marLeft w:val="0"/>
      <w:marRight w:val="0"/>
      <w:marTop w:val="0"/>
      <w:marBottom w:val="0"/>
      <w:divBdr>
        <w:top w:val="none" w:sz="0" w:space="0" w:color="auto"/>
        <w:left w:val="none" w:sz="0" w:space="0" w:color="auto"/>
        <w:bottom w:val="none" w:sz="0" w:space="0" w:color="auto"/>
        <w:right w:val="none" w:sz="0" w:space="0" w:color="auto"/>
      </w:divBdr>
    </w:div>
    <w:div w:id="2077628410">
      <w:bodyDiv w:val="1"/>
      <w:marLeft w:val="0"/>
      <w:marRight w:val="0"/>
      <w:marTop w:val="0"/>
      <w:marBottom w:val="0"/>
      <w:divBdr>
        <w:top w:val="none" w:sz="0" w:space="0" w:color="auto"/>
        <w:left w:val="none" w:sz="0" w:space="0" w:color="auto"/>
        <w:bottom w:val="none" w:sz="0" w:space="0" w:color="auto"/>
        <w:right w:val="none" w:sz="0" w:space="0" w:color="auto"/>
      </w:divBdr>
    </w:div>
    <w:div w:id="2122604826">
      <w:bodyDiv w:val="1"/>
      <w:marLeft w:val="0"/>
      <w:marRight w:val="0"/>
      <w:marTop w:val="0"/>
      <w:marBottom w:val="0"/>
      <w:divBdr>
        <w:top w:val="none" w:sz="0" w:space="0" w:color="auto"/>
        <w:left w:val="none" w:sz="0" w:space="0" w:color="auto"/>
        <w:bottom w:val="none" w:sz="0" w:space="0" w:color="auto"/>
        <w:right w:val="none" w:sz="0" w:space="0" w:color="auto"/>
      </w:divBdr>
    </w:div>
    <w:div w:id="2135366355">
      <w:bodyDiv w:val="1"/>
      <w:marLeft w:val="0"/>
      <w:marRight w:val="0"/>
      <w:marTop w:val="0"/>
      <w:marBottom w:val="0"/>
      <w:divBdr>
        <w:top w:val="none" w:sz="0" w:space="0" w:color="auto"/>
        <w:left w:val="none" w:sz="0" w:space="0" w:color="auto"/>
        <w:bottom w:val="none" w:sz="0" w:space="0" w:color="auto"/>
        <w:right w:val="none" w:sz="0" w:space="0" w:color="auto"/>
      </w:divBdr>
      <w:divsChild>
        <w:div w:id="140968251">
          <w:marLeft w:val="446"/>
          <w:marRight w:val="0"/>
          <w:marTop w:val="0"/>
          <w:marBottom w:val="0"/>
          <w:divBdr>
            <w:top w:val="none" w:sz="0" w:space="0" w:color="auto"/>
            <w:left w:val="none" w:sz="0" w:space="0" w:color="auto"/>
            <w:bottom w:val="none" w:sz="0" w:space="0" w:color="auto"/>
            <w:right w:val="none" w:sz="0" w:space="0" w:color="auto"/>
          </w:divBdr>
        </w:div>
        <w:div w:id="480973726">
          <w:marLeft w:val="446"/>
          <w:marRight w:val="0"/>
          <w:marTop w:val="0"/>
          <w:marBottom w:val="0"/>
          <w:divBdr>
            <w:top w:val="none" w:sz="0" w:space="0" w:color="auto"/>
            <w:left w:val="none" w:sz="0" w:space="0" w:color="auto"/>
            <w:bottom w:val="none" w:sz="0" w:space="0" w:color="auto"/>
            <w:right w:val="none" w:sz="0" w:space="0" w:color="auto"/>
          </w:divBdr>
        </w:div>
        <w:div w:id="569194019">
          <w:marLeft w:val="446"/>
          <w:marRight w:val="0"/>
          <w:marTop w:val="0"/>
          <w:marBottom w:val="0"/>
          <w:divBdr>
            <w:top w:val="none" w:sz="0" w:space="0" w:color="auto"/>
            <w:left w:val="none" w:sz="0" w:space="0" w:color="auto"/>
            <w:bottom w:val="none" w:sz="0" w:space="0" w:color="auto"/>
            <w:right w:val="none" w:sz="0" w:space="0" w:color="auto"/>
          </w:divBdr>
        </w:div>
        <w:div w:id="725690226">
          <w:marLeft w:val="446"/>
          <w:marRight w:val="0"/>
          <w:marTop w:val="0"/>
          <w:marBottom w:val="0"/>
          <w:divBdr>
            <w:top w:val="none" w:sz="0" w:space="0" w:color="auto"/>
            <w:left w:val="none" w:sz="0" w:space="0" w:color="auto"/>
            <w:bottom w:val="none" w:sz="0" w:space="0" w:color="auto"/>
            <w:right w:val="none" w:sz="0" w:space="0" w:color="auto"/>
          </w:divBdr>
        </w:div>
        <w:div w:id="1644430418">
          <w:marLeft w:val="446"/>
          <w:marRight w:val="0"/>
          <w:marTop w:val="0"/>
          <w:marBottom w:val="0"/>
          <w:divBdr>
            <w:top w:val="none" w:sz="0" w:space="0" w:color="auto"/>
            <w:left w:val="none" w:sz="0" w:space="0" w:color="auto"/>
            <w:bottom w:val="none" w:sz="0" w:space="0" w:color="auto"/>
            <w:right w:val="none" w:sz="0" w:space="0" w:color="auto"/>
          </w:divBdr>
        </w:div>
        <w:div w:id="1959869554">
          <w:marLeft w:val="446"/>
          <w:marRight w:val="0"/>
          <w:marTop w:val="0"/>
          <w:marBottom w:val="0"/>
          <w:divBdr>
            <w:top w:val="none" w:sz="0" w:space="0" w:color="auto"/>
            <w:left w:val="none" w:sz="0" w:space="0" w:color="auto"/>
            <w:bottom w:val="none" w:sz="0" w:space="0" w:color="auto"/>
            <w:right w:val="none" w:sz="0" w:space="0" w:color="auto"/>
          </w:divBdr>
        </w:div>
      </w:divsChild>
    </w:div>
    <w:div w:id="2135709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diagramColors" Target="diagrams/colors1.xml"/><Relationship Id="rId26"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chart" Target="charts/chart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diagramQuickStyle" Target="diagrams/quickStyle1.xml"/><Relationship Id="rId25" Type="http://schemas.openxmlformats.org/officeDocument/2006/relationships/image" Target="media/image4.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diagramLayout" Target="diagrams/layout1.xml"/><Relationship Id="rId20" Type="http://schemas.openxmlformats.org/officeDocument/2006/relationships/image" Target="media/image1.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image" Target="media/image3.png"/><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diagramData" Target="diagrams/data1.xml"/><Relationship Id="rId23" Type="http://schemas.openxmlformats.org/officeDocument/2006/relationships/chart" Target="charts/chart2.xml"/><Relationship Id="rId28" Type="http://schemas.openxmlformats.org/officeDocument/2006/relationships/image" Target="media/image7.png"/><Relationship Id="rId10" Type="http://schemas.openxmlformats.org/officeDocument/2006/relationships/endnotes" Target="endnotes.xml"/><Relationship Id="rId19" Type="http://schemas.microsoft.com/office/2007/relationships/diagramDrawing" Target="diagrams/drawing1.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2.png"/><Relationship Id="rId27" Type="http://schemas.openxmlformats.org/officeDocument/2006/relationships/image" Target="media/image6.emf"/><Relationship Id="rId30" Type="http://schemas.openxmlformats.org/officeDocument/2006/relationships/footer" Target="foot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8.emf"/></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7554ae4530cb63cd/DOCUMENTOS%20PC/MIN%20VIVIENDA%20AGRICULTURA/2026/6.%20INFORME%20DE%20PROGRAMA/BAC%20Estado%20financiero%20BAC%20Corte%20a%2031%20de%20DIC%202025.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7554ae4530cb63cd/DOCUMENTOS%20PC/MIN%20VIVIENDA%20AGRICULTURA/7.%20INFORME%20PERIODICO/VIV_DR_Maestro_de_Proyectos_31AUG2025_fin%201.xlsb"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MX"/>
              <a:t>Cantidad 
de Subsidios 
Materializados BAC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lineChart>
        <c:grouping val="standard"/>
        <c:varyColors val="0"/>
        <c:ser>
          <c:idx val="0"/>
          <c:order val="0"/>
          <c:tx>
            <c:strRef>
              <c:f>'SUB MATERIALIZADOS'!$O$80</c:f>
              <c:strCache>
                <c:ptCount val="1"/>
                <c:pt idx="0">
                  <c:v>Cantidad 
de Subsidios 
Materializados </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'SUB MATERIALIZADOS'!$N$81:$N$92</c:f>
              <c:strCache>
                <c:ptCount val="12"/>
                <c:pt idx="0">
                  <c:v>Enero </c:v>
                </c:pt>
                <c:pt idx="1">
                  <c:v>Febrero</c:v>
                </c:pt>
                <c:pt idx="2">
                  <c:v>Marzo</c:v>
                </c:pt>
                <c:pt idx="3">
                  <c:v>Abril</c:v>
                </c:pt>
                <c:pt idx="4">
                  <c:v>Mayo </c:v>
                </c:pt>
                <c:pt idx="5">
                  <c:v>Junio</c:v>
                </c:pt>
                <c:pt idx="6">
                  <c:v>Julio</c:v>
                </c:pt>
                <c:pt idx="7">
                  <c:v>Agosto</c:v>
                </c:pt>
                <c:pt idx="8">
                  <c:v>Septiembre </c:v>
                </c:pt>
                <c:pt idx="9">
                  <c:v>Octubre </c:v>
                </c:pt>
                <c:pt idx="10">
                  <c:v>Noviembre</c:v>
                </c:pt>
                <c:pt idx="11">
                  <c:v>Diciembre</c:v>
                </c:pt>
              </c:strCache>
            </c:strRef>
          </c:cat>
          <c:val>
            <c:numRef>
              <c:f>'SUB MATERIALIZADOS'!$O$81:$O$92</c:f>
              <c:numCache>
                <c:formatCode>General</c:formatCode>
                <c:ptCount val="12"/>
                <c:pt idx="0">
                  <c:v>27</c:v>
                </c:pt>
                <c:pt idx="1">
                  <c:v>65</c:v>
                </c:pt>
                <c:pt idx="2">
                  <c:v>69</c:v>
                </c:pt>
                <c:pt idx="3">
                  <c:v>187</c:v>
                </c:pt>
                <c:pt idx="4">
                  <c:v>109</c:v>
                </c:pt>
                <c:pt idx="5">
                  <c:v>177</c:v>
                </c:pt>
                <c:pt idx="6">
                  <c:v>137</c:v>
                </c:pt>
                <c:pt idx="7">
                  <c:v>97</c:v>
                </c:pt>
                <c:pt idx="8">
                  <c:v>171</c:v>
                </c:pt>
                <c:pt idx="9">
                  <c:v>189</c:v>
                </c:pt>
                <c:pt idx="10">
                  <c:v>53</c:v>
                </c:pt>
                <c:pt idx="11">
                  <c:v>335</c:v>
                </c:pt>
              </c:numCache>
            </c:numRef>
          </c:val>
          <c:smooth val="0"/>
          <c:extLst>
            <c:ext xmlns:c16="http://schemas.microsoft.com/office/drawing/2014/chart" uri="{C3380CC4-5D6E-409C-BE32-E72D297353CC}">
              <c16:uniqueId val="{00000000-BCE2-4D9C-B70E-7E8D5770208E}"/>
            </c:ext>
          </c:extLst>
        </c:ser>
        <c:dLbls>
          <c:dLblPos val="t"/>
          <c:showLegendKey val="0"/>
          <c:showVal val="1"/>
          <c:showCatName val="0"/>
          <c:showSerName val="0"/>
          <c:showPercent val="0"/>
          <c:showBubbleSize val="0"/>
        </c:dLbls>
        <c:smooth val="0"/>
        <c:axId val="600060943"/>
        <c:axId val="600064303"/>
      </c:lineChart>
      <c:catAx>
        <c:axId val="600060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00064303"/>
        <c:crosses val="autoZero"/>
        <c:auto val="1"/>
        <c:lblAlgn val="ctr"/>
        <c:lblOffset val="100"/>
        <c:noMultiLvlLbl val="0"/>
      </c:catAx>
      <c:valAx>
        <c:axId val="60006430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0006094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[VIV_DR_Maestro_de_Proyectos_31AUG2025_fin 1.xlsb]General!TablaDinámica8</c:name>
    <c:fmtId val="-1"/>
  </c:pivotSource>
  <c:chart>
    <c:title>
      <c:tx>
        <c:rich>
          <a:bodyPr rot="0" spcFirstLastPara="1" vertOverflow="ellipsis" vert="horz" wrap="square" anchor="ctr" anchorCtr="1"/>
          <a:lstStyle/>
          <a:p>
            <a:pPr>
              <a:defRPr lang="en-US" sz="1080" b="0" i="0" u="none" strike="noStrike" kern="1200" spc="0" baseline="0">
                <a:solidFill>
                  <a:schemeClr val="tx1"/>
                </a:solidFill>
                <a:latin typeface="+mn-lt"/>
                <a:ea typeface="+mn-ea"/>
                <a:cs typeface="+mn-cs"/>
              </a:defRPr>
            </a:pPr>
            <a:r>
              <a:rPr lang="en-US"/>
              <a:t>Porcentaje de subsidios asignados por departamento</a:t>
            </a:r>
          </a:p>
        </c:rich>
      </c:tx>
      <c:overlay val="0"/>
      <c:spPr>
        <a:noFill/>
        <a:ln>
          <a:noFill/>
        </a:ln>
        <a:effectLst/>
      </c:spPr>
      <c:txPr>
        <a:bodyPr rot="0" spcFirstLastPara="1" vertOverflow="ellipsis" vert="horz" wrap="square" anchor="ctr" anchorCtr="1"/>
        <a:lstStyle/>
        <a:p>
          <a:pPr>
            <a:defRPr lang="en-US" sz="1080" b="0" i="0" u="none" strike="noStrike" kern="1200" spc="0" baseline="0">
              <a:solidFill>
                <a:schemeClr val="tx1"/>
              </a:solidFill>
              <a:latin typeface="+mn-lt"/>
              <a:ea typeface="+mn-ea"/>
              <a:cs typeface="+mn-cs"/>
            </a:defRPr>
          </a:pPr>
          <a:endParaRPr lang="es-CO"/>
        </a:p>
      </c:txPr>
    </c:title>
    <c:autoTitleDeleted val="0"/>
    <c:pivotFmts>
      <c:pivotFmt>
        <c:idx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cap="flat" cmpd="sng" algn="ctr">
            <a:solidFill>
              <a:schemeClr val="accent1">
                <a:shade val="95000"/>
                <a:satMod val="105000"/>
              </a:schemeClr>
            </a:solidFill>
            <a:prstDash val="solid"/>
          </a:ln>
          <a:effectLst>
            <a:outerShdw blurRad="40000" dist="23000" dir="5400000" rotWithShape="0">
              <a:srgbClr val="000000">
                <a:alpha val="35000"/>
              </a:srgbClr>
            </a:outerShdw>
          </a:effectLst>
        </c:spPr>
        <c:marker>
          <c:symbol val="none"/>
        </c:marker>
        <c:dLbl>
          <c:idx val="0"/>
          <c:spPr>
            <a:noFill/>
            <a:ln>
              <a:noFill/>
            </a:ln>
            <a:effectLst/>
          </c:spPr>
          <c:txPr>
            <a:bodyPr rot="0" spcFirstLastPara="1" vertOverflow="ellipsis" vert="horz" wrap="square" anchor="ctr" anchorCtr="1"/>
            <a:lstStyle/>
            <a:p>
              <a:pPr>
                <a:defRPr lang="en-US" sz="1000" b="0"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cap="flat" cmpd="sng" algn="ctr">
            <a:solidFill>
              <a:schemeClr val="accent1">
                <a:shade val="95000"/>
                <a:satMod val="105000"/>
              </a:schemeClr>
            </a:solidFill>
            <a:prstDash val="solid"/>
          </a:ln>
          <a:effectLst>
            <a:outerShdw blurRad="40000" dist="23000" dir="5400000" rotWithShape="0">
              <a:srgbClr val="000000">
                <a:alpha val="35000"/>
              </a:srgbClr>
            </a:outerShdw>
          </a:effectLst>
        </c:spPr>
        <c:marker>
          <c:symbol val="none"/>
        </c:marker>
        <c:dLbl>
          <c:idx val="0"/>
          <c:spPr>
            <a:noFill/>
            <a:ln>
              <a:noFill/>
            </a:ln>
            <a:effectLst/>
          </c:spPr>
          <c:txPr>
            <a:bodyPr rot="0" spcFirstLastPara="1" vertOverflow="ellipsis" vert="horz" wrap="square" anchor="ctr" anchorCtr="1"/>
            <a:lstStyle/>
            <a:p>
              <a:pPr>
                <a:defRPr lang="en-US" sz="1000" b="0"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cap="flat" cmpd="sng" algn="ctr">
            <a:solidFill>
              <a:schemeClr val="accent1">
                <a:shade val="95000"/>
                <a:satMod val="105000"/>
              </a:schemeClr>
            </a:solidFill>
            <a:prstDash val="solid"/>
          </a:ln>
          <a:effectLst>
            <a:outerShdw blurRad="40000" dist="23000" dir="5400000" rotWithShape="0">
              <a:srgbClr val="000000">
                <a:alpha val="35000"/>
              </a:srgbClr>
            </a:outerShdw>
          </a:effectLst>
        </c:spPr>
        <c:marker>
          <c:symbol val="none"/>
        </c:marker>
        <c:dLbl>
          <c:idx val="0"/>
          <c:spPr>
            <a:noFill/>
            <a:ln>
              <a:noFill/>
            </a:ln>
            <a:effectLst/>
          </c:spPr>
          <c:txPr>
            <a:bodyPr rot="0" spcFirstLastPara="1" vertOverflow="ellipsis" vert="horz" wrap="square" anchor="ctr" anchorCtr="1"/>
            <a:lstStyle/>
            <a:p>
              <a:pPr>
                <a:defRPr lang="en-US" sz="1000" b="0"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20928631714893739"/>
          <c:y val="0.11874571624400274"/>
          <c:w val="0.74731441308982161"/>
          <c:h val="0.79540214687009225"/>
        </c:manualLayout>
      </c:layout>
      <c:barChart>
        <c:barDir val="bar"/>
        <c:grouping val="clustered"/>
        <c:varyColors val="0"/>
        <c:ser>
          <c:idx val="0"/>
          <c:order val="0"/>
          <c:tx>
            <c:strRef>
              <c:f>General!$Q$41</c:f>
              <c:strCache>
                <c:ptCount val="1"/>
                <c:pt idx="0">
                  <c:v>Total</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cap="flat" cmpd="sng" algn="ctr">
              <a:solidFill>
                <a:schemeClr val="accent1">
                  <a:shade val="95000"/>
                  <a:satMod val="105000"/>
                </a:schemeClr>
              </a:solidFill>
              <a:prstDash val="solid"/>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General!$P$42:$P$75</c:f>
              <c:strCache>
                <c:ptCount val="33"/>
                <c:pt idx="0">
                  <c:v>BOGOTA D.C.</c:v>
                </c:pt>
                <c:pt idx="1">
                  <c:v>AMAZONAS</c:v>
                </c:pt>
                <c:pt idx="2">
                  <c:v>VAUPÉS</c:v>
                </c:pt>
                <c:pt idx="3">
                  <c:v>GUAINÍA</c:v>
                </c:pt>
                <c:pt idx="4">
                  <c:v>GUAVIARE</c:v>
                </c:pt>
                <c:pt idx="5">
                  <c:v>SAN ANDRÉS</c:v>
                </c:pt>
                <c:pt idx="6">
                  <c:v>VICHADA</c:v>
                </c:pt>
                <c:pt idx="7">
                  <c:v>QUINDIO</c:v>
                </c:pt>
                <c:pt idx="8">
                  <c:v>CASANARE</c:v>
                </c:pt>
                <c:pt idx="9">
                  <c:v>RISARALDA</c:v>
                </c:pt>
                <c:pt idx="10">
                  <c:v>ARAUCA</c:v>
                </c:pt>
                <c:pt idx="11">
                  <c:v>ATLANTICO</c:v>
                </c:pt>
                <c:pt idx="12">
                  <c:v>CAQUETÁ</c:v>
                </c:pt>
                <c:pt idx="13">
                  <c:v>META</c:v>
                </c:pt>
                <c:pt idx="14">
                  <c:v>PUTUMAYO</c:v>
                </c:pt>
                <c:pt idx="15">
                  <c:v>CALDAS</c:v>
                </c:pt>
                <c:pt idx="16">
                  <c:v>CHOCÓ</c:v>
                </c:pt>
                <c:pt idx="17">
                  <c:v>LA GUAJIRA</c:v>
                </c:pt>
                <c:pt idx="18">
                  <c:v>VALLE DEL CAUCA</c:v>
                </c:pt>
                <c:pt idx="19">
                  <c:v>MAGDALENA</c:v>
                </c:pt>
                <c:pt idx="20">
                  <c:v>CESAR</c:v>
                </c:pt>
                <c:pt idx="21">
                  <c:v>NORTE DE SANTANDER</c:v>
                </c:pt>
                <c:pt idx="22">
                  <c:v>SUCRE</c:v>
                </c:pt>
                <c:pt idx="23">
                  <c:v>TOLIMA</c:v>
                </c:pt>
                <c:pt idx="24">
                  <c:v>CUNDINAMARCA</c:v>
                </c:pt>
                <c:pt idx="25">
                  <c:v>SANTANDER</c:v>
                </c:pt>
                <c:pt idx="26">
                  <c:v>HUILA</c:v>
                </c:pt>
                <c:pt idx="27">
                  <c:v>BOYACA</c:v>
                </c:pt>
                <c:pt idx="28">
                  <c:v>CÓRDOBA</c:v>
                </c:pt>
                <c:pt idx="29">
                  <c:v>BOLIVAR</c:v>
                </c:pt>
                <c:pt idx="30">
                  <c:v>ANTIOQUIA</c:v>
                </c:pt>
                <c:pt idx="31">
                  <c:v>NARIÑO</c:v>
                </c:pt>
                <c:pt idx="32">
                  <c:v>CAUCA</c:v>
                </c:pt>
              </c:strCache>
            </c:strRef>
          </c:cat>
          <c:val>
            <c:numRef>
              <c:f>General!$Q$42:$Q$75</c:f>
              <c:numCache>
                <c:formatCode>0.0%</c:formatCode>
                <c:ptCount val="33"/>
                <c:pt idx="0">
                  <c:v>2.844770363814521E-4</c:v>
                </c:pt>
                <c:pt idx="1">
                  <c:v>9.0310170279826057E-4</c:v>
                </c:pt>
                <c:pt idx="2">
                  <c:v>1.4269006904212519E-3</c:v>
                </c:pt>
                <c:pt idx="3">
                  <c:v>1.7294397608586692E-3</c:v>
                </c:pt>
                <c:pt idx="4">
                  <c:v>3.3821158769794862E-3</c:v>
                </c:pt>
                <c:pt idx="5">
                  <c:v>3.4001779110354514E-3</c:v>
                </c:pt>
                <c:pt idx="6">
                  <c:v>3.4679105387453208E-3</c:v>
                </c:pt>
                <c:pt idx="7">
                  <c:v>4.8270786014567033E-3</c:v>
                </c:pt>
                <c:pt idx="8">
                  <c:v>5.7482423383109285E-3</c:v>
                </c:pt>
                <c:pt idx="9">
                  <c:v>7.5860543035053893E-3</c:v>
                </c:pt>
                <c:pt idx="10">
                  <c:v>7.5950853205333721E-3</c:v>
                </c:pt>
                <c:pt idx="11">
                  <c:v>1.1970613070590944E-2</c:v>
                </c:pt>
                <c:pt idx="12">
                  <c:v>1.1979644087618927E-2</c:v>
                </c:pt>
                <c:pt idx="13">
                  <c:v>1.2485381041185952E-2</c:v>
                </c:pt>
                <c:pt idx="14">
                  <c:v>1.3266564014106448E-2</c:v>
                </c:pt>
                <c:pt idx="15">
                  <c:v>1.7339552693726605E-2</c:v>
                </c:pt>
                <c:pt idx="16">
                  <c:v>1.9376047033536681E-2</c:v>
                </c:pt>
                <c:pt idx="17">
                  <c:v>2.3173589693803367E-2</c:v>
                </c:pt>
                <c:pt idx="18">
                  <c:v>2.5002370641969845E-2</c:v>
                </c:pt>
                <c:pt idx="19">
                  <c:v>2.6700201843230575E-2</c:v>
                </c:pt>
                <c:pt idx="20">
                  <c:v>2.696210133704207E-2</c:v>
                </c:pt>
                <c:pt idx="21">
                  <c:v>3.2877417490370681E-2</c:v>
                </c:pt>
                <c:pt idx="22">
                  <c:v>3.9515215005937895E-2</c:v>
                </c:pt>
                <c:pt idx="23">
                  <c:v>4.21071168929689E-2</c:v>
                </c:pt>
                <c:pt idx="24">
                  <c:v>4.9553190432540563E-2</c:v>
                </c:pt>
                <c:pt idx="25">
                  <c:v>5.0013772300967672E-2</c:v>
                </c:pt>
                <c:pt idx="26">
                  <c:v>5.2334743677159207E-2</c:v>
                </c:pt>
                <c:pt idx="27">
                  <c:v>5.4190617676409626E-2</c:v>
                </c:pt>
                <c:pt idx="28">
                  <c:v>6.7240437281844492E-2</c:v>
                </c:pt>
                <c:pt idx="29">
                  <c:v>8.2579619703872953E-2</c:v>
                </c:pt>
                <c:pt idx="30">
                  <c:v>9.1664822834023454E-2</c:v>
                </c:pt>
                <c:pt idx="31">
                  <c:v>0.10002302909342135</c:v>
                </c:pt>
                <c:pt idx="32">
                  <c:v>0.1092933680726455</c:v>
                </c:pt>
              </c:numCache>
            </c:numRef>
          </c:val>
          <c:extLst>
            <c:ext xmlns:c16="http://schemas.microsoft.com/office/drawing/2014/chart" uri="{C3380CC4-5D6E-409C-BE32-E72D297353CC}">
              <c16:uniqueId val="{00000000-C7C1-4BE0-8EFC-14B096335236}"/>
            </c:ext>
          </c:extLst>
        </c:ser>
        <c:dLbls>
          <c:dLblPos val="outEnd"/>
          <c:showLegendKey val="0"/>
          <c:showVal val="1"/>
          <c:showCatName val="0"/>
          <c:showSerName val="0"/>
          <c:showPercent val="0"/>
          <c:showBubbleSize val="0"/>
        </c:dLbls>
        <c:gapWidth val="182"/>
        <c:axId val="22627424"/>
        <c:axId val="1858889472"/>
      </c:barChart>
      <c:catAx>
        <c:axId val="226274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es-CO"/>
          </a:p>
        </c:txPr>
        <c:crossAx val="1858889472"/>
        <c:crosses val="autoZero"/>
        <c:auto val="1"/>
        <c:lblAlgn val="ctr"/>
        <c:lblOffset val="100"/>
        <c:noMultiLvlLbl val="0"/>
      </c:catAx>
      <c:valAx>
        <c:axId val="185888947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solidFill>
                <a:latin typeface="+mn-lt"/>
                <a:ea typeface="+mn-ea"/>
                <a:cs typeface="+mn-cs"/>
              </a:defRPr>
            </a:pPr>
            <a:endParaRPr lang="es-CO"/>
          </a:p>
        </c:txPr>
        <c:crossAx val="226274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lang="en-US" sz="900" b="0" i="0" u="none" strike="noStrike" kern="1200" baseline="0">
          <a:solidFill>
            <a:schemeClr val="tx1"/>
          </a:solidFill>
          <a:latin typeface="+mn-lt"/>
          <a:ea typeface="+mn-ea"/>
          <a:cs typeface="+mn-cs"/>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F11D4DB-4BE6-4184-BFD5-D979C0FF3EE4}" type="doc">
      <dgm:prSet loTypeId="urn:microsoft.com/office/officeart/2008/layout/NameandTitleOrganizationalChart" loCatId="hierarchy" qsTypeId="urn:microsoft.com/office/officeart/2005/8/quickstyle/simple1" qsCatId="simple" csTypeId="urn:microsoft.com/office/officeart/2005/8/colors/accent1_1" csCatId="accent1" phldr="1"/>
      <dgm:spPr/>
      <dgm:t>
        <a:bodyPr/>
        <a:lstStyle/>
        <a:p>
          <a:endParaRPr lang="es-ES"/>
        </a:p>
      </dgm:t>
    </dgm:pt>
    <dgm:pt modelId="{27A41D48-C38C-45BC-924B-EDC1CD9E394C}">
      <dgm:prSet phldrT="[Texto]" custT="1"/>
      <dgm:spPr/>
      <dgm:t>
        <a:bodyPr/>
        <a:lstStyle/>
        <a:p>
          <a:pPr algn="ctr"/>
          <a:r>
            <a:rPr lang="es-CO" sz="900" b="1" i="0"/>
            <a:t>PROGRAMA DE VIVIENDA DE INTERÉS SOCIAL Y PRIORITARIO RURAL</a:t>
          </a:r>
          <a:endParaRPr lang="es-ES" sz="900"/>
        </a:p>
      </dgm:t>
    </dgm:pt>
    <dgm:pt modelId="{F7164DEE-2AAB-4783-A588-C1F3B48EF819}" type="parTrans" cxnId="{7F466361-E5DB-4D0D-83BB-C368B326D86A}">
      <dgm:prSet/>
      <dgm:spPr/>
      <dgm:t>
        <a:bodyPr/>
        <a:lstStyle/>
        <a:p>
          <a:pPr algn="ctr"/>
          <a:endParaRPr lang="es-ES" sz="900"/>
        </a:p>
      </dgm:t>
    </dgm:pt>
    <dgm:pt modelId="{670B7014-69A7-4C78-8089-CB6E33FC5F96}" type="sibTrans" cxnId="{7F466361-E5DB-4D0D-83BB-C368B326D86A}">
      <dgm:prSet custT="1"/>
      <dgm:spPr/>
      <dgm:t>
        <a:bodyPr/>
        <a:lstStyle/>
        <a:p>
          <a:pPr algn="ctr"/>
          <a:r>
            <a:rPr lang="es-ES" sz="900" b="1"/>
            <a:t>Vigencia 2000 - 2019</a:t>
          </a:r>
        </a:p>
      </dgm:t>
    </dgm:pt>
    <dgm:pt modelId="{FA2102A4-0D98-422C-B88D-47BF187D10A0}">
      <dgm:prSet phldrT="[Texto]" custT="1"/>
      <dgm:spPr/>
      <dgm:t>
        <a:bodyPr/>
        <a:lstStyle/>
        <a:p>
          <a:pPr algn="ctr"/>
          <a:r>
            <a:rPr lang="es-ES" sz="900"/>
            <a:t>Banco Agrario de Colombia - BAC</a:t>
          </a:r>
        </a:p>
        <a:p>
          <a:pPr algn="ctr"/>
          <a:r>
            <a:rPr lang="es-ES" sz="900"/>
            <a:t>Vigencias 2000 - 2017</a:t>
          </a:r>
        </a:p>
      </dgm:t>
    </dgm:pt>
    <dgm:pt modelId="{7AAA75A5-5559-42D4-B08C-46BCD9BD6496}" type="parTrans" cxnId="{EF1EACC1-9236-4C28-A1B6-B6242C093E2F}">
      <dgm:prSet/>
      <dgm:spPr/>
      <dgm:t>
        <a:bodyPr/>
        <a:lstStyle/>
        <a:p>
          <a:pPr algn="ctr"/>
          <a:endParaRPr lang="es-ES" sz="900"/>
        </a:p>
      </dgm:t>
    </dgm:pt>
    <dgm:pt modelId="{32102321-8E60-4B7B-9A9E-FCBAB9F6F556}" type="sibTrans" cxnId="{EF1EACC1-9236-4C28-A1B6-B6242C093E2F}">
      <dgm:prSet custT="1"/>
      <dgm:spPr/>
      <dgm:t>
        <a:bodyPr/>
        <a:lstStyle/>
        <a:p>
          <a:pPr algn="ctr"/>
          <a:r>
            <a:rPr lang="es-ES" sz="900" b="1"/>
            <a:t>Entidad Otorgante </a:t>
          </a:r>
        </a:p>
      </dgm:t>
    </dgm:pt>
    <dgm:pt modelId="{E1AF378E-C8DD-4303-BD8F-799DA18C0822}">
      <dgm:prSet phldrT="[Texto]" custT="1"/>
      <dgm:spPr/>
      <dgm:t>
        <a:bodyPr/>
        <a:lstStyle/>
        <a:p>
          <a:pPr algn="ctr"/>
          <a:r>
            <a:rPr lang="es-ES" sz="900"/>
            <a:t>Ministerio de Agricultura y desarrollo Rural - MADR</a:t>
          </a:r>
        </a:p>
        <a:p>
          <a:pPr algn="ctr"/>
          <a:r>
            <a:rPr lang="es-ES" sz="900"/>
            <a:t>Vigencias 2018 - 2019</a:t>
          </a:r>
        </a:p>
      </dgm:t>
    </dgm:pt>
    <dgm:pt modelId="{019DF608-E27D-4154-B194-04103D1C5EDE}" type="parTrans" cxnId="{9249E211-FC3D-46D8-B8F3-F2EAEDBC1B8E}">
      <dgm:prSet/>
      <dgm:spPr/>
      <dgm:t>
        <a:bodyPr/>
        <a:lstStyle/>
        <a:p>
          <a:pPr algn="ctr"/>
          <a:endParaRPr lang="es-ES" sz="900"/>
        </a:p>
      </dgm:t>
    </dgm:pt>
    <dgm:pt modelId="{A12E8BA0-474D-4068-85A3-95A1258B482E}" type="sibTrans" cxnId="{9249E211-FC3D-46D8-B8F3-F2EAEDBC1B8E}">
      <dgm:prSet custT="1"/>
      <dgm:spPr/>
      <dgm:t>
        <a:bodyPr/>
        <a:lstStyle/>
        <a:p>
          <a:pPr algn="ctr"/>
          <a:r>
            <a:rPr lang="es-ES" sz="900" b="1"/>
            <a:t>Entidad Otorgante</a:t>
          </a:r>
        </a:p>
      </dgm:t>
    </dgm:pt>
    <dgm:pt modelId="{899A8EA2-2A48-4C19-8A87-A7D9224C4622}">
      <dgm:prSet phldrT="[Texto]" custT="1"/>
      <dgm:spPr/>
      <dgm:t>
        <a:bodyPr/>
        <a:lstStyle/>
        <a:p>
          <a:pPr algn="ctr"/>
          <a:r>
            <a:rPr lang="es-ES" sz="900"/>
            <a:t>2000-2010 Ejecución por entes territoriales</a:t>
          </a:r>
        </a:p>
        <a:p>
          <a:pPr algn="ctr"/>
          <a:r>
            <a:rPr lang="es-ES" sz="900"/>
            <a:t>BAC - interventor</a:t>
          </a:r>
        </a:p>
      </dgm:t>
    </dgm:pt>
    <dgm:pt modelId="{9AB4BFA5-F90B-4045-B427-77C4DDDEFFCE}" type="parTrans" cxnId="{B9DDD4DF-0782-4B70-9FA7-387082921BD5}">
      <dgm:prSet/>
      <dgm:spPr/>
      <dgm:t>
        <a:bodyPr/>
        <a:lstStyle/>
        <a:p>
          <a:pPr algn="ctr"/>
          <a:endParaRPr lang="es-ES" sz="900"/>
        </a:p>
      </dgm:t>
    </dgm:pt>
    <dgm:pt modelId="{071C663E-3538-4C41-A4D6-D0A59E93707E}" type="sibTrans" cxnId="{B9DDD4DF-0782-4B70-9FA7-387082921BD5}">
      <dgm:prSet custT="1"/>
      <dgm:spPr/>
      <dgm:t>
        <a:bodyPr/>
        <a:lstStyle/>
        <a:p>
          <a:pPr algn="ctr"/>
          <a:r>
            <a:rPr lang="es-ES" sz="900" b="1"/>
            <a:t>Contratistas</a:t>
          </a:r>
        </a:p>
      </dgm:t>
    </dgm:pt>
    <dgm:pt modelId="{AE13EE98-BA81-404A-A8FA-2C8F3647936F}">
      <dgm:prSet phldrT="[Texto]" custT="1"/>
      <dgm:spPr/>
      <dgm:t>
        <a:bodyPr/>
        <a:lstStyle/>
        <a:p>
          <a:pPr algn="ctr"/>
          <a:r>
            <a:rPr lang="es-ES" sz="900"/>
            <a:t>FIDUAGRARIA</a:t>
          </a:r>
        </a:p>
        <a:p>
          <a:pPr algn="ctr"/>
          <a:r>
            <a:rPr lang="es-ES" sz="900"/>
            <a:t>Contratos de fiducia 2019-2018</a:t>
          </a:r>
        </a:p>
      </dgm:t>
    </dgm:pt>
    <dgm:pt modelId="{C968B7E0-3518-4BFA-89D2-0F3A7DC3254F}" type="parTrans" cxnId="{649BB99A-38D4-496F-81AC-56D00316E4F9}">
      <dgm:prSet/>
      <dgm:spPr/>
      <dgm:t>
        <a:bodyPr/>
        <a:lstStyle/>
        <a:p>
          <a:pPr algn="ctr"/>
          <a:endParaRPr lang="es-ES" sz="900"/>
        </a:p>
      </dgm:t>
    </dgm:pt>
    <dgm:pt modelId="{DF03CEE5-EB42-4CA0-AE30-6A023EFC1208}" type="sibTrans" cxnId="{649BB99A-38D4-496F-81AC-56D00316E4F9}">
      <dgm:prSet custT="1"/>
      <dgm:spPr/>
      <dgm:t>
        <a:bodyPr/>
        <a:lstStyle/>
        <a:p>
          <a:pPr algn="ctr"/>
          <a:r>
            <a:rPr lang="es-ES" sz="900" b="1"/>
            <a:t>Entidad Operadora</a:t>
          </a:r>
        </a:p>
        <a:p>
          <a:pPr algn="ctr"/>
          <a:r>
            <a:rPr lang="es-ES" sz="900" b="1"/>
            <a:t>Contratistas</a:t>
          </a:r>
        </a:p>
      </dgm:t>
    </dgm:pt>
    <dgm:pt modelId="{B3DCD5F7-C01C-4B4D-B820-9DFE019B39B8}">
      <dgm:prSet phldrT="[Texto]" custT="1"/>
      <dgm:spPr/>
      <dgm:t>
        <a:bodyPr/>
        <a:lstStyle/>
        <a:p>
          <a:pPr algn="ctr"/>
          <a:r>
            <a:rPr lang="es-ES" sz="900"/>
            <a:t>2011 -2017 Ejecución por Gerencias Integrales</a:t>
          </a:r>
        </a:p>
        <a:p>
          <a:pPr algn="ctr"/>
          <a:r>
            <a:rPr lang="es-ES" sz="900"/>
            <a:t>BAC - Otorgante</a:t>
          </a:r>
        </a:p>
      </dgm:t>
    </dgm:pt>
    <dgm:pt modelId="{06FFDA56-762A-471B-AFD7-CADC5155AE17}" type="parTrans" cxnId="{C2AB30E1-CA75-44BA-866C-309F2ADA0951}">
      <dgm:prSet/>
      <dgm:spPr/>
      <dgm:t>
        <a:bodyPr/>
        <a:lstStyle/>
        <a:p>
          <a:endParaRPr lang="es-CO"/>
        </a:p>
      </dgm:t>
    </dgm:pt>
    <dgm:pt modelId="{316D3CA2-329E-4204-B36F-7751ECAF691F}" type="sibTrans" cxnId="{C2AB30E1-CA75-44BA-866C-309F2ADA0951}">
      <dgm:prSet custT="1"/>
      <dgm:spPr/>
      <dgm:t>
        <a:bodyPr/>
        <a:lstStyle/>
        <a:p>
          <a:pPr algn="ctr"/>
          <a:r>
            <a:rPr lang="es-CO" sz="900" b="1"/>
            <a:t>Contratistas</a:t>
          </a:r>
        </a:p>
      </dgm:t>
    </dgm:pt>
    <dgm:pt modelId="{76290196-C5BA-4DCD-8B8D-6A9B5F8B4B65}" type="pres">
      <dgm:prSet presAssocID="{EF11D4DB-4BE6-4184-BFD5-D979C0FF3EE4}" presName="hierChild1" presStyleCnt="0">
        <dgm:presLayoutVars>
          <dgm:orgChart val="1"/>
          <dgm:chPref val="1"/>
          <dgm:dir/>
          <dgm:animOne val="branch"/>
          <dgm:animLvl val="lvl"/>
          <dgm:resizeHandles/>
        </dgm:presLayoutVars>
      </dgm:prSet>
      <dgm:spPr/>
    </dgm:pt>
    <dgm:pt modelId="{F507C69F-BC62-4B4E-92D8-4AE069BF6C80}" type="pres">
      <dgm:prSet presAssocID="{27A41D48-C38C-45BC-924B-EDC1CD9E394C}" presName="hierRoot1" presStyleCnt="0">
        <dgm:presLayoutVars>
          <dgm:hierBranch val="init"/>
        </dgm:presLayoutVars>
      </dgm:prSet>
      <dgm:spPr/>
    </dgm:pt>
    <dgm:pt modelId="{F1C1A856-35A0-4E31-A5FE-8855679F2883}" type="pres">
      <dgm:prSet presAssocID="{27A41D48-C38C-45BC-924B-EDC1CD9E394C}" presName="rootComposite1" presStyleCnt="0"/>
      <dgm:spPr/>
    </dgm:pt>
    <dgm:pt modelId="{E0FEBF31-A256-4CDE-8441-6EDF99B6B4F1}" type="pres">
      <dgm:prSet presAssocID="{27A41D48-C38C-45BC-924B-EDC1CD9E394C}" presName="rootText1" presStyleLbl="node0" presStyleIdx="0" presStyleCnt="1" custScaleX="219985">
        <dgm:presLayoutVars>
          <dgm:chMax/>
          <dgm:chPref val="3"/>
        </dgm:presLayoutVars>
      </dgm:prSet>
      <dgm:spPr/>
    </dgm:pt>
    <dgm:pt modelId="{8AB4EEF3-517B-4DEB-A2A0-E7CB5CBB5004}" type="pres">
      <dgm:prSet presAssocID="{27A41D48-C38C-45BC-924B-EDC1CD9E394C}" presName="titleText1" presStyleLbl="fgAcc0" presStyleIdx="0" presStyleCnt="1" custScaleX="162471" custScaleY="97888" custLinFactNeighborX="-16406">
        <dgm:presLayoutVars>
          <dgm:chMax val="0"/>
          <dgm:chPref val="0"/>
        </dgm:presLayoutVars>
      </dgm:prSet>
      <dgm:spPr/>
    </dgm:pt>
    <dgm:pt modelId="{90360495-73E9-4A7D-8B18-AE2522119463}" type="pres">
      <dgm:prSet presAssocID="{27A41D48-C38C-45BC-924B-EDC1CD9E394C}" presName="rootConnector1" presStyleLbl="node1" presStyleIdx="0" presStyleCnt="5"/>
      <dgm:spPr/>
    </dgm:pt>
    <dgm:pt modelId="{63678FCF-F48C-49E8-95CD-88DBCEB88A45}" type="pres">
      <dgm:prSet presAssocID="{27A41D48-C38C-45BC-924B-EDC1CD9E394C}" presName="hierChild2" presStyleCnt="0"/>
      <dgm:spPr/>
    </dgm:pt>
    <dgm:pt modelId="{64DEAEED-0AA9-4D90-B176-DBD99B681761}" type="pres">
      <dgm:prSet presAssocID="{7AAA75A5-5559-42D4-B08C-46BCD9BD6496}" presName="Name37" presStyleLbl="parChTrans1D2" presStyleIdx="0" presStyleCnt="2"/>
      <dgm:spPr/>
    </dgm:pt>
    <dgm:pt modelId="{38ADACE2-0E8C-466B-A997-8D69244B6748}" type="pres">
      <dgm:prSet presAssocID="{FA2102A4-0D98-422C-B88D-47BF187D10A0}" presName="hierRoot2" presStyleCnt="0">
        <dgm:presLayoutVars>
          <dgm:hierBranch val="init"/>
        </dgm:presLayoutVars>
      </dgm:prSet>
      <dgm:spPr/>
    </dgm:pt>
    <dgm:pt modelId="{6A4A330E-D55D-4CEF-8FEE-A6E02024DCE5}" type="pres">
      <dgm:prSet presAssocID="{FA2102A4-0D98-422C-B88D-47BF187D10A0}" presName="rootComposite" presStyleCnt="0"/>
      <dgm:spPr/>
    </dgm:pt>
    <dgm:pt modelId="{972B18BC-E633-4BCD-BB64-E099042165BF}" type="pres">
      <dgm:prSet presAssocID="{FA2102A4-0D98-422C-B88D-47BF187D10A0}" presName="rootText" presStyleLbl="node1" presStyleIdx="0" presStyleCnt="5" custScaleX="178846">
        <dgm:presLayoutVars>
          <dgm:chMax/>
          <dgm:chPref val="3"/>
        </dgm:presLayoutVars>
      </dgm:prSet>
      <dgm:spPr/>
    </dgm:pt>
    <dgm:pt modelId="{898E2A00-6CD9-4762-9748-182FF9305BA1}" type="pres">
      <dgm:prSet presAssocID="{FA2102A4-0D98-422C-B88D-47BF187D10A0}" presName="titleText2" presStyleLbl="fgAcc1" presStyleIdx="0" presStyleCnt="5" custLinFactNeighborX="-18344">
        <dgm:presLayoutVars>
          <dgm:chMax val="0"/>
          <dgm:chPref val="0"/>
        </dgm:presLayoutVars>
      </dgm:prSet>
      <dgm:spPr/>
    </dgm:pt>
    <dgm:pt modelId="{C61C9766-AF95-4DD9-8AE7-FFEB00342AE2}" type="pres">
      <dgm:prSet presAssocID="{FA2102A4-0D98-422C-B88D-47BF187D10A0}" presName="rootConnector" presStyleLbl="node2" presStyleIdx="0" presStyleCnt="0"/>
      <dgm:spPr/>
    </dgm:pt>
    <dgm:pt modelId="{DD6F8F70-25AA-4D52-A945-0FBC3826D918}" type="pres">
      <dgm:prSet presAssocID="{FA2102A4-0D98-422C-B88D-47BF187D10A0}" presName="hierChild4" presStyleCnt="0"/>
      <dgm:spPr/>
    </dgm:pt>
    <dgm:pt modelId="{77EB7270-A2E4-4AD6-991A-1491188BCDAC}" type="pres">
      <dgm:prSet presAssocID="{9AB4BFA5-F90B-4045-B427-77C4DDDEFFCE}" presName="Name37" presStyleLbl="parChTrans1D3" presStyleIdx="0" presStyleCnt="3"/>
      <dgm:spPr/>
    </dgm:pt>
    <dgm:pt modelId="{6A4F6F2B-E8E5-4AAD-8902-78CC09401D76}" type="pres">
      <dgm:prSet presAssocID="{899A8EA2-2A48-4C19-8A87-A7D9224C4622}" presName="hierRoot2" presStyleCnt="0">
        <dgm:presLayoutVars>
          <dgm:hierBranch val="init"/>
        </dgm:presLayoutVars>
      </dgm:prSet>
      <dgm:spPr/>
    </dgm:pt>
    <dgm:pt modelId="{1FE6C125-6C70-4F64-B27D-57FACBF3B148}" type="pres">
      <dgm:prSet presAssocID="{899A8EA2-2A48-4C19-8A87-A7D9224C4622}" presName="rootComposite" presStyleCnt="0"/>
      <dgm:spPr/>
    </dgm:pt>
    <dgm:pt modelId="{E8D18034-64A2-4D6E-8D63-341C9A4D4310}" type="pres">
      <dgm:prSet presAssocID="{899A8EA2-2A48-4C19-8A87-A7D9224C4622}" presName="rootText" presStyleLbl="node1" presStyleIdx="1" presStyleCnt="5" custScaleX="116350" custScaleY="93481">
        <dgm:presLayoutVars>
          <dgm:chMax/>
          <dgm:chPref val="3"/>
        </dgm:presLayoutVars>
      </dgm:prSet>
      <dgm:spPr/>
    </dgm:pt>
    <dgm:pt modelId="{79AF57A7-6C4B-4576-AE6E-BD9EF4071B6A}" type="pres">
      <dgm:prSet presAssocID="{899A8EA2-2A48-4C19-8A87-A7D9224C4622}" presName="titleText2" presStyleLbl="fgAcc1" presStyleIdx="1" presStyleCnt="5" custLinFactNeighborX="-18977" custLinFactNeighborY="34054">
        <dgm:presLayoutVars>
          <dgm:chMax val="0"/>
          <dgm:chPref val="0"/>
        </dgm:presLayoutVars>
      </dgm:prSet>
      <dgm:spPr/>
    </dgm:pt>
    <dgm:pt modelId="{64CE323D-F1DE-4ADE-BD29-45A25C4CDC17}" type="pres">
      <dgm:prSet presAssocID="{899A8EA2-2A48-4C19-8A87-A7D9224C4622}" presName="rootConnector" presStyleLbl="node3" presStyleIdx="0" presStyleCnt="0"/>
      <dgm:spPr/>
    </dgm:pt>
    <dgm:pt modelId="{D345932C-68D9-431C-A616-B424498BE398}" type="pres">
      <dgm:prSet presAssocID="{899A8EA2-2A48-4C19-8A87-A7D9224C4622}" presName="hierChild4" presStyleCnt="0"/>
      <dgm:spPr/>
    </dgm:pt>
    <dgm:pt modelId="{2B563DCC-1C00-429C-8B68-E3FDA7422720}" type="pres">
      <dgm:prSet presAssocID="{899A8EA2-2A48-4C19-8A87-A7D9224C4622}" presName="hierChild5" presStyleCnt="0"/>
      <dgm:spPr/>
    </dgm:pt>
    <dgm:pt modelId="{D80CDAE7-34F9-46FD-A30B-6FD69EABE2B6}" type="pres">
      <dgm:prSet presAssocID="{06FFDA56-762A-471B-AFD7-CADC5155AE17}" presName="Name37" presStyleLbl="parChTrans1D3" presStyleIdx="1" presStyleCnt="3"/>
      <dgm:spPr/>
    </dgm:pt>
    <dgm:pt modelId="{51709D9D-3E45-4ABF-A761-AC05A03DD533}" type="pres">
      <dgm:prSet presAssocID="{B3DCD5F7-C01C-4B4D-B820-9DFE019B39B8}" presName="hierRoot2" presStyleCnt="0">
        <dgm:presLayoutVars>
          <dgm:hierBranch val="init"/>
        </dgm:presLayoutVars>
      </dgm:prSet>
      <dgm:spPr/>
    </dgm:pt>
    <dgm:pt modelId="{71DA73DA-12E6-4438-B365-AF0D2323CAAB}" type="pres">
      <dgm:prSet presAssocID="{B3DCD5F7-C01C-4B4D-B820-9DFE019B39B8}" presName="rootComposite" presStyleCnt="0"/>
      <dgm:spPr/>
    </dgm:pt>
    <dgm:pt modelId="{D603BB5C-E07A-4A92-A1A7-DA4899436949}" type="pres">
      <dgm:prSet presAssocID="{B3DCD5F7-C01C-4B4D-B820-9DFE019B39B8}" presName="rootText" presStyleLbl="node1" presStyleIdx="2" presStyleCnt="5">
        <dgm:presLayoutVars>
          <dgm:chMax/>
          <dgm:chPref val="3"/>
        </dgm:presLayoutVars>
      </dgm:prSet>
      <dgm:spPr/>
    </dgm:pt>
    <dgm:pt modelId="{CC7ED25F-3C55-4708-85EE-810A29C8E92F}" type="pres">
      <dgm:prSet presAssocID="{B3DCD5F7-C01C-4B4D-B820-9DFE019B39B8}" presName="titleText2" presStyleLbl="fgAcc1" presStyleIdx="2" presStyleCnt="5" custLinFactNeighborX="-16325" custLinFactNeighborY="39555">
        <dgm:presLayoutVars>
          <dgm:chMax val="0"/>
          <dgm:chPref val="0"/>
        </dgm:presLayoutVars>
      </dgm:prSet>
      <dgm:spPr/>
    </dgm:pt>
    <dgm:pt modelId="{6F57DCB5-5216-4CEE-882B-8FEEBBCD9AE8}" type="pres">
      <dgm:prSet presAssocID="{B3DCD5F7-C01C-4B4D-B820-9DFE019B39B8}" presName="rootConnector" presStyleLbl="node3" presStyleIdx="0" presStyleCnt="0"/>
      <dgm:spPr/>
    </dgm:pt>
    <dgm:pt modelId="{73363C30-B185-4FE8-80FA-FDCAE52A392F}" type="pres">
      <dgm:prSet presAssocID="{B3DCD5F7-C01C-4B4D-B820-9DFE019B39B8}" presName="hierChild4" presStyleCnt="0"/>
      <dgm:spPr/>
    </dgm:pt>
    <dgm:pt modelId="{3318E796-73AA-4BD9-AB86-CF9BE5404801}" type="pres">
      <dgm:prSet presAssocID="{B3DCD5F7-C01C-4B4D-B820-9DFE019B39B8}" presName="hierChild5" presStyleCnt="0"/>
      <dgm:spPr/>
    </dgm:pt>
    <dgm:pt modelId="{3AA2A920-F6E7-4AC9-8BCC-D71AA1BE8E28}" type="pres">
      <dgm:prSet presAssocID="{FA2102A4-0D98-422C-B88D-47BF187D10A0}" presName="hierChild5" presStyleCnt="0"/>
      <dgm:spPr/>
    </dgm:pt>
    <dgm:pt modelId="{BBFAF412-3997-4F3B-AA43-F9B1A1D62694}" type="pres">
      <dgm:prSet presAssocID="{019DF608-E27D-4154-B194-04103D1C5EDE}" presName="Name37" presStyleLbl="parChTrans1D2" presStyleIdx="1" presStyleCnt="2"/>
      <dgm:spPr/>
    </dgm:pt>
    <dgm:pt modelId="{E78575BA-B030-4FCD-AB11-CA94C045FA6A}" type="pres">
      <dgm:prSet presAssocID="{E1AF378E-C8DD-4303-BD8F-799DA18C0822}" presName="hierRoot2" presStyleCnt="0">
        <dgm:presLayoutVars>
          <dgm:hierBranch val="init"/>
        </dgm:presLayoutVars>
      </dgm:prSet>
      <dgm:spPr/>
    </dgm:pt>
    <dgm:pt modelId="{0F5EF733-B4F8-4843-81E6-9BB0C8CAA6C1}" type="pres">
      <dgm:prSet presAssocID="{E1AF378E-C8DD-4303-BD8F-799DA18C0822}" presName="rootComposite" presStyleCnt="0"/>
      <dgm:spPr/>
    </dgm:pt>
    <dgm:pt modelId="{AEBB0F61-38B9-4321-B5FE-4285648B1E69}" type="pres">
      <dgm:prSet presAssocID="{E1AF378E-C8DD-4303-BD8F-799DA18C0822}" presName="rootText" presStyleLbl="node1" presStyleIdx="3" presStyleCnt="5" custScaleX="178590">
        <dgm:presLayoutVars>
          <dgm:chMax/>
          <dgm:chPref val="3"/>
        </dgm:presLayoutVars>
      </dgm:prSet>
      <dgm:spPr/>
    </dgm:pt>
    <dgm:pt modelId="{DE49EBB6-5927-4F94-908D-CB56B9AB55B3}" type="pres">
      <dgm:prSet presAssocID="{E1AF378E-C8DD-4303-BD8F-799DA18C0822}" presName="titleText2" presStyleLbl="fgAcc1" presStyleIdx="3" presStyleCnt="5" custLinFactNeighborX="-15440">
        <dgm:presLayoutVars>
          <dgm:chMax val="0"/>
          <dgm:chPref val="0"/>
        </dgm:presLayoutVars>
      </dgm:prSet>
      <dgm:spPr/>
    </dgm:pt>
    <dgm:pt modelId="{C84F322A-0B9B-49B2-AA00-12B120D58556}" type="pres">
      <dgm:prSet presAssocID="{E1AF378E-C8DD-4303-BD8F-799DA18C0822}" presName="rootConnector" presStyleLbl="node2" presStyleIdx="0" presStyleCnt="0"/>
      <dgm:spPr/>
    </dgm:pt>
    <dgm:pt modelId="{8EB6812E-F1FB-4F5C-8DBD-BBC9DA3ACEE7}" type="pres">
      <dgm:prSet presAssocID="{E1AF378E-C8DD-4303-BD8F-799DA18C0822}" presName="hierChild4" presStyleCnt="0"/>
      <dgm:spPr/>
    </dgm:pt>
    <dgm:pt modelId="{1D445E34-BBEA-4736-8177-42B7DA9524CF}" type="pres">
      <dgm:prSet presAssocID="{C968B7E0-3518-4BFA-89D2-0F3A7DC3254F}" presName="Name37" presStyleLbl="parChTrans1D3" presStyleIdx="2" presStyleCnt="3"/>
      <dgm:spPr/>
    </dgm:pt>
    <dgm:pt modelId="{2FF4949B-DF07-45CC-AED6-6F0751C4A4F5}" type="pres">
      <dgm:prSet presAssocID="{AE13EE98-BA81-404A-A8FA-2C8F3647936F}" presName="hierRoot2" presStyleCnt="0">
        <dgm:presLayoutVars>
          <dgm:hierBranch val="init"/>
        </dgm:presLayoutVars>
      </dgm:prSet>
      <dgm:spPr/>
    </dgm:pt>
    <dgm:pt modelId="{77300AA3-AB6A-4DBE-B6FB-3D3276FC1C13}" type="pres">
      <dgm:prSet presAssocID="{AE13EE98-BA81-404A-A8FA-2C8F3647936F}" presName="rootComposite" presStyleCnt="0"/>
      <dgm:spPr/>
    </dgm:pt>
    <dgm:pt modelId="{FD20FC84-5030-49C6-9BAF-85023B2FEAB4}" type="pres">
      <dgm:prSet presAssocID="{AE13EE98-BA81-404A-A8FA-2C8F3647936F}" presName="rootText" presStyleLbl="node1" presStyleIdx="4" presStyleCnt="5" custScaleX="136073" custScaleY="63478">
        <dgm:presLayoutVars>
          <dgm:chMax/>
          <dgm:chPref val="3"/>
        </dgm:presLayoutVars>
      </dgm:prSet>
      <dgm:spPr/>
    </dgm:pt>
    <dgm:pt modelId="{A81BEED0-8C8C-4D42-9EEE-D846EBDC35D7}" type="pres">
      <dgm:prSet presAssocID="{AE13EE98-BA81-404A-A8FA-2C8F3647936F}" presName="titleText2" presStyleLbl="fgAcc1" presStyleIdx="4" presStyleCnt="5" custScaleY="134335" custLinFactNeighborX="-15424" custLinFactNeighborY="27243">
        <dgm:presLayoutVars>
          <dgm:chMax val="0"/>
          <dgm:chPref val="0"/>
        </dgm:presLayoutVars>
      </dgm:prSet>
      <dgm:spPr/>
    </dgm:pt>
    <dgm:pt modelId="{9BE94981-50F6-46C4-876B-F2FD948183B5}" type="pres">
      <dgm:prSet presAssocID="{AE13EE98-BA81-404A-A8FA-2C8F3647936F}" presName="rootConnector" presStyleLbl="node3" presStyleIdx="0" presStyleCnt="0"/>
      <dgm:spPr/>
    </dgm:pt>
    <dgm:pt modelId="{452B1B49-364E-4F65-9A11-9990B1C2F8F0}" type="pres">
      <dgm:prSet presAssocID="{AE13EE98-BA81-404A-A8FA-2C8F3647936F}" presName="hierChild4" presStyleCnt="0"/>
      <dgm:spPr/>
    </dgm:pt>
    <dgm:pt modelId="{A626EFD2-88B5-400B-8E69-DCFFB88C1A58}" type="pres">
      <dgm:prSet presAssocID="{AE13EE98-BA81-404A-A8FA-2C8F3647936F}" presName="hierChild5" presStyleCnt="0"/>
      <dgm:spPr/>
    </dgm:pt>
    <dgm:pt modelId="{1FE7BFA9-9D89-43F4-843D-BF3265C1BAE3}" type="pres">
      <dgm:prSet presAssocID="{E1AF378E-C8DD-4303-BD8F-799DA18C0822}" presName="hierChild5" presStyleCnt="0"/>
      <dgm:spPr/>
    </dgm:pt>
    <dgm:pt modelId="{E4F74B5A-85F9-468C-91E8-9F99468D7C29}" type="pres">
      <dgm:prSet presAssocID="{27A41D48-C38C-45BC-924B-EDC1CD9E394C}" presName="hierChild3" presStyleCnt="0"/>
      <dgm:spPr/>
    </dgm:pt>
  </dgm:ptLst>
  <dgm:cxnLst>
    <dgm:cxn modelId="{6780CB08-1F74-4C57-9423-550426D2D07A}" type="presOf" srcId="{AE13EE98-BA81-404A-A8FA-2C8F3647936F}" destId="{9BE94981-50F6-46C4-876B-F2FD948183B5}" srcOrd="1" destOrd="0" presId="urn:microsoft.com/office/officeart/2008/layout/NameandTitleOrganizationalChart"/>
    <dgm:cxn modelId="{9249E211-FC3D-46D8-B8F3-F2EAEDBC1B8E}" srcId="{27A41D48-C38C-45BC-924B-EDC1CD9E394C}" destId="{E1AF378E-C8DD-4303-BD8F-799DA18C0822}" srcOrd="1" destOrd="0" parTransId="{019DF608-E27D-4154-B194-04103D1C5EDE}" sibTransId="{A12E8BA0-474D-4068-85A3-95A1258B482E}"/>
    <dgm:cxn modelId="{FA4C7419-8760-4FEE-9D6F-925B7C109E53}" type="presOf" srcId="{EF11D4DB-4BE6-4184-BFD5-D979C0FF3EE4}" destId="{76290196-C5BA-4DCD-8B8D-6A9B5F8B4B65}" srcOrd="0" destOrd="0" presId="urn:microsoft.com/office/officeart/2008/layout/NameandTitleOrganizationalChart"/>
    <dgm:cxn modelId="{98F58923-E62F-49A3-AFCE-85337CB87891}" type="presOf" srcId="{DF03CEE5-EB42-4CA0-AE30-6A023EFC1208}" destId="{A81BEED0-8C8C-4D42-9EEE-D846EBDC35D7}" srcOrd="0" destOrd="0" presId="urn:microsoft.com/office/officeart/2008/layout/NameandTitleOrganizationalChart"/>
    <dgm:cxn modelId="{FE88ED27-C155-422C-AC47-AE68A1A65AB0}" type="presOf" srcId="{FA2102A4-0D98-422C-B88D-47BF187D10A0}" destId="{972B18BC-E633-4BCD-BB64-E099042165BF}" srcOrd="0" destOrd="0" presId="urn:microsoft.com/office/officeart/2008/layout/NameandTitleOrganizationalChart"/>
    <dgm:cxn modelId="{DF415534-8A81-40CE-B316-A34272B056F2}" type="presOf" srcId="{A12E8BA0-474D-4068-85A3-95A1258B482E}" destId="{DE49EBB6-5927-4F94-908D-CB56B9AB55B3}" srcOrd="0" destOrd="0" presId="urn:microsoft.com/office/officeart/2008/layout/NameandTitleOrganizationalChart"/>
    <dgm:cxn modelId="{5C84B83A-A545-4626-B1EA-48EC065BB3E0}" type="presOf" srcId="{071C663E-3538-4C41-A4D6-D0A59E93707E}" destId="{79AF57A7-6C4B-4576-AE6E-BD9EF4071B6A}" srcOrd="0" destOrd="0" presId="urn:microsoft.com/office/officeart/2008/layout/NameandTitleOrganizationalChart"/>
    <dgm:cxn modelId="{E3149F5B-3DE3-4F78-80E6-E13C51E7CCDC}" type="presOf" srcId="{670B7014-69A7-4C78-8089-CB6E33FC5F96}" destId="{8AB4EEF3-517B-4DEB-A2A0-E7CB5CBB5004}" srcOrd="0" destOrd="0" presId="urn:microsoft.com/office/officeart/2008/layout/NameandTitleOrganizationalChart"/>
    <dgm:cxn modelId="{7F466361-E5DB-4D0D-83BB-C368B326D86A}" srcId="{EF11D4DB-4BE6-4184-BFD5-D979C0FF3EE4}" destId="{27A41D48-C38C-45BC-924B-EDC1CD9E394C}" srcOrd="0" destOrd="0" parTransId="{F7164DEE-2AAB-4783-A588-C1F3B48EF819}" sibTransId="{670B7014-69A7-4C78-8089-CB6E33FC5F96}"/>
    <dgm:cxn modelId="{C2BF4063-DE77-43F2-AAE6-8D5897BC456B}" type="presOf" srcId="{06FFDA56-762A-471B-AFD7-CADC5155AE17}" destId="{D80CDAE7-34F9-46FD-A30B-6FD69EABE2B6}" srcOrd="0" destOrd="0" presId="urn:microsoft.com/office/officeart/2008/layout/NameandTitleOrganizationalChart"/>
    <dgm:cxn modelId="{C9C5CD48-5A32-4EDB-B709-10222F668E2F}" type="presOf" srcId="{AE13EE98-BA81-404A-A8FA-2C8F3647936F}" destId="{FD20FC84-5030-49C6-9BAF-85023B2FEAB4}" srcOrd="0" destOrd="0" presId="urn:microsoft.com/office/officeart/2008/layout/NameandTitleOrganizationalChart"/>
    <dgm:cxn modelId="{5B6A5069-34CE-4012-8530-B56A91C635C8}" type="presOf" srcId="{019DF608-E27D-4154-B194-04103D1C5EDE}" destId="{BBFAF412-3997-4F3B-AA43-F9B1A1D62694}" srcOrd="0" destOrd="0" presId="urn:microsoft.com/office/officeart/2008/layout/NameandTitleOrganizationalChart"/>
    <dgm:cxn modelId="{67B3C74B-BF1E-4903-8203-71BC635876F1}" type="presOf" srcId="{316D3CA2-329E-4204-B36F-7751ECAF691F}" destId="{CC7ED25F-3C55-4708-85EE-810A29C8E92F}" srcOrd="0" destOrd="0" presId="urn:microsoft.com/office/officeart/2008/layout/NameandTitleOrganizationalChart"/>
    <dgm:cxn modelId="{64B7EC6C-500B-43B9-BB81-73F47230298A}" type="presOf" srcId="{899A8EA2-2A48-4C19-8A87-A7D9224C4622}" destId="{E8D18034-64A2-4D6E-8D63-341C9A4D4310}" srcOrd="0" destOrd="0" presId="urn:microsoft.com/office/officeart/2008/layout/NameandTitleOrganizationalChart"/>
    <dgm:cxn modelId="{EDF5616D-A75D-48F3-880D-036650DE52AD}" type="presOf" srcId="{32102321-8E60-4B7B-9A9E-FCBAB9F6F556}" destId="{898E2A00-6CD9-4762-9748-182FF9305BA1}" srcOrd="0" destOrd="0" presId="urn:microsoft.com/office/officeart/2008/layout/NameandTitleOrganizationalChart"/>
    <dgm:cxn modelId="{8E25787F-8368-437B-89D9-4A2829E3DEB6}" type="presOf" srcId="{9AB4BFA5-F90B-4045-B427-77C4DDDEFFCE}" destId="{77EB7270-A2E4-4AD6-991A-1491188BCDAC}" srcOrd="0" destOrd="0" presId="urn:microsoft.com/office/officeart/2008/layout/NameandTitleOrganizationalChart"/>
    <dgm:cxn modelId="{9A7F3C80-8F38-4FBC-8099-4103F9C9D1DA}" type="presOf" srcId="{E1AF378E-C8DD-4303-BD8F-799DA18C0822}" destId="{AEBB0F61-38B9-4321-B5FE-4285648B1E69}" srcOrd="0" destOrd="0" presId="urn:microsoft.com/office/officeart/2008/layout/NameandTitleOrganizationalChart"/>
    <dgm:cxn modelId="{F924FD80-6964-4B71-BFC5-04D5F241557E}" type="presOf" srcId="{B3DCD5F7-C01C-4B4D-B820-9DFE019B39B8}" destId="{6F57DCB5-5216-4CEE-882B-8FEEBBCD9AE8}" srcOrd="1" destOrd="0" presId="urn:microsoft.com/office/officeart/2008/layout/NameandTitleOrganizationalChart"/>
    <dgm:cxn modelId="{EE0A8D86-28EC-44FE-A987-209329F4CD33}" type="presOf" srcId="{27A41D48-C38C-45BC-924B-EDC1CD9E394C}" destId="{90360495-73E9-4A7D-8B18-AE2522119463}" srcOrd="1" destOrd="0" presId="urn:microsoft.com/office/officeart/2008/layout/NameandTitleOrganizationalChart"/>
    <dgm:cxn modelId="{9B8D3E87-55A3-44B8-8A2A-F8D40BCCB52F}" type="presOf" srcId="{FA2102A4-0D98-422C-B88D-47BF187D10A0}" destId="{C61C9766-AF95-4DD9-8AE7-FFEB00342AE2}" srcOrd="1" destOrd="0" presId="urn:microsoft.com/office/officeart/2008/layout/NameandTitleOrganizationalChart"/>
    <dgm:cxn modelId="{1ECC248F-347A-4556-BC30-F6AFB15B07A9}" type="presOf" srcId="{7AAA75A5-5559-42D4-B08C-46BCD9BD6496}" destId="{64DEAEED-0AA9-4D90-B176-DBD99B681761}" srcOrd="0" destOrd="0" presId="urn:microsoft.com/office/officeart/2008/layout/NameandTitleOrganizationalChart"/>
    <dgm:cxn modelId="{649BB99A-38D4-496F-81AC-56D00316E4F9}" srcId="{E1AF378E-C8DD-4303-BD8F-799DA18C0822}" destId="{AE13EE98-BA81-404A-A8FA-2C8F3647936F}" srcOrd="0" destOrd="0" parTransId="{C968B7E0-3518-4BFA-89D2-0F3A7DC3254F}" sibTransId="{DF03CEE5-EB42-4CA0-AE30-6A023EFC1208}"/>
    <dgm:cxn modelId="{543189A3-5D38-45B6-97F4-7D87BFBB17E8}" type="presOf" srcId="{899A8EA2-2A48-4C19-8A87-A7D9224C4622}" destId="{64CE323D-F1DE-4ADE-BD29-45A25C4CDC17}" srcOrd="1" destOrd="0" presId="urn:microsoft.com/office/officeart/2008/layout/NameandTitleOrganizationalChart"/>
    <dgm:cxn modelId="{B96C16C1-EB90-4FF6-BF1A-E213F42060C5}" type="presOf" srcId="{B3DCD5F7-C01C-4B4D-B820-9DFE019B39B8}" destId="{D603BB5C-E07A-4A92-A1A7-DA4899436949}" srcOrd="0" destOrd="0" presId="urn:microsoft.com/office/officeart/2008/layout/NameandTitleOrganizationalChart"/>
    <dgm:cxn modelId="{EF1EACC1-9236-4C28-A1B6-B6242C093E2F}" srcId="{27A41D48-C38C-45BC-924B-EDC1CD9E394C}" destId="{FA2102A4-0D98-422C-B88D-47BF187D10A0}" srcOrd="0" destOrd="0" parTransId="{7AAA75A5-5559-42D4-B08C-46BCD9BD6496}" sibTransId="{32102321-8E60-4B7B-9A9E-FCBAB9F6F556}"/>
    <dgm:cxn modelId="{807030C2-C39B-4F42-949D-75C08EE5C8E6}" type="presOf" srcId="{C968B7E0-3518-4BFA-89D2-0F3A7DC3254F}" destId="{1D445E34-BBEA-4736-8177-42B7DA9524CF}" srcOrd="0" destOrd="0" presId="urn:microsoft.com/office/officeart/2008/layout/NameandTitleOrganizationalChart"/>
    <dgm:cxn modelId="{B9DDD4DF-0782-4B70-9FA7-387082921BD5}" srcId="{FA2102A4-0D98-422C-B88D-47BF187D10A0}" destId="{899A8EA2-2A48-4C19-8A87-A7D9224C4622}" srcOrd="0" destOrd="0" parTransId="{9AB4BFA5-F90B-4045-B427-77C4DDDEFFCE}" sibTransId="{071C663E-3538-4C41-A4D6-D0A59E93707E}"/>
    <dgm:cxn modelId="{C2AB30E1-CA75-44BA-866C-309F2ADA0951}" srcId="{FA2102A4-0D98-422C-B88D-47BF187D10A0}" destId="{B3DCD5F7-C01C-4B4D-B820-9DFE019B39B8}" srcOrd="1" destOrd="0" parTransId="{06FFDA56-762A-471B-AFD7-CADC5155AE17}" sibTransId="{316D3CA2-329E-4204-B36F-7751ECAF691F}"/>
    <dgm:cxn modelId="{F59C99EA-8653-42E0-A18C-DEA6B78144F4}" type="presOf" srcId="{27A41D48-C38C-45BC-924B-EDC1CD9E394C}" destId="{E0FEBF31-A256-4CDE-8441-6EDF99B6B4F1}" srcOrd="0" destOrd="0" presId="urn:microsoft.com/office/officeart/2008/layout/NameandTitleOrganizationalChart"/>
    <dgm:cxn modelId="{C765D4F4-2F60-4E03-A55E-1C06366E323D}" type="presOf" srcId="{E1AF378E-C8DD-4303-BD8F-799DA18C0822}" destId="{C84F322A-0B9B-49B2-AA00-12B120D58556}" srcOrd="1" destOrd="0" presId="urn:microsoft.com/office/officeart/2008/layout/NameandTitleOrganizationalChart"/>
    <dgm:cxn modelId="{8F0A8D32-7414-4AF4-AF0D-B8DCDCFF7A95}" type="presParOf" srcId="{76290196-C5BA-4DCD-8B8D-6A9B5F8B4B65}" destId="{F507C69F-BC62-4B4E-92D8-4AE069BF6C80}" srcOrd="0" destOrd="0" presId="urn:microsoft.com/office/officeart/2008/layout/NameandTitleOrganizationalChart"/>
    <dgm:cxn modelId="{7003E1C0-FAC8-420F-92C3-D4186F324582}" type="presParOf" srcId="{F507C69F-BC62-4B4E-92D8-4AE069BF6C80}" destId="{F1C1A856-35A0-4E31-A5FE-8855679F2883}" srcOrd="0" destOrd="0" presId="urn:microsoft.com/office/officeart/2008/layout/NameandTitleOrganizationalChart"/>
    <dgm:cxn modelId="{13CA8B07-4EB7-4A90-8E2E-D00FF9FA0BD0}" type="presParOf" srcId="{F1C1A856-35A0-4E31-A5FE-8855679F2883}" destId="{E0FEBF31-A256-4CDE-8441-6EDF99B6B4F1}" srcOrd="0" destOrd="0" presId="urn:microsoft.com/office/officeart/2008/layout/NameandTitleOrganizationalChart"/>
    <dgm:cxn modelId="{8EF4DAB0-7BFB-482A-8E77-7D3BBE08D848}" type="presParOf" srcId="{F1C1A856-35A0-4E31-A5FE-8855679F2883}" destId="{8AB4EEF3-517B-4DEB-A2A0-E7CB5CBB5004}" srcOrd="1" destOrd="0" presId="urn:microsoft.com/office/officeart/2008/layout/NameandTitleOrganizationalChart"/>
    <dgm:cxn modelId="{61E8883E-884B-4F54-95CD-2A226D23FCC9}" type="presParOf" srcId="{F1C1A856-35A0-4E31-A5FE-8855679F2883}" destId="{90360495-73E9-4A7D-8B18-AE2522119463}" srcOrd="2" destOrd="0" presId="urn:microsoft.com/office/officeart/2008/layout/NameandTitleOrganizationalChart"/>
    <dgm:cxn modelId="{62220C56-901B-477F-A415-9C1B0E16CC6C}" type="presParOf" srcId="{F507C69F-BC62-4B4E-92D8-4AE069BF6C80}" destId="{63678FCF-F48C-49E8-95CD-88DBCEB88A45}" srcOrd="1" destOrd="0" presId="urn:microsoft.com/office/officeart/2008/layout/NameandTitleOrganizationalChart"/>
    <dgm:cxn modelId="{7D621996-39A9-4EA3-8DB9-2C8FB758DDD5}" type="presParOf" srcId="{63678FCF-F48C-49E8-95CD-88DBCEB88A45}" destId="{64DEAEED-0AA9-4D90-B176-DBD99B681761}" srcOrd="0" destOrd="0" presId="urn:microsoft.com/office/officeart/2008/layout/NameandTitleOrganizationalChart"/>
    <dgm:cxn modelId="{4CFC4B16-87B8-4FFA-B8E3-18FD57005274}" type="presParOf" srcId="{63678FCF-F48C-49E8-95CD-88DBCEB88A45}" destId="{38ADACE2-0E8C-466B-A997-8D69244B6748}" srcOrd="1" destOrd="0" presId="urn:microsoft.com/office/officeart/2008/layout/NameandTitleOrganizationalChart"/>
    <dgm:cxn modelId="{6FAE3AD0-1193-49C3-B1BB-CE86C52341E8}" type="presParOf" srcId="{38ADACE2-0E8C-466B-A997-8D69244B6748}" destId="{6A4A330E-D55D-4CEF-8FEE-A6E02024DCE5}" srcOrd="0" destOrd="0" presId="urn:microsoft.com/office/officeart/2008/layout/NameandTitleOrganizationalChart"/>
    <dgm:cxn modelId="{4DFA0C52-DC94-49B7-BB56-069601DB89C1}" type="presParOf" srcId="{6A4A330E-D55D-4CEF-8FEE-A6E02024DCE5}" destId="{972B18BC-E633-4BCD-BB64-E099042165BF}" srcOrd="0" destOrd="0" presId="urn:microsoft.com/office/officeart/2008/layout/NameandTitleOrganizationalChart"/>
    <dgm:cxn modelId="{6104C556-D381-43FC-AAD6-7E81231104AB}" type="presParOf" srcId="{6A4A330E-D55D-4CEF-8FEE-A6E02024DCE5}" destId="{898E2A00-6CD9-4762-9748-182FF9305BA1}" srcOrd="1" destOrd="0" presId="urn:microsoft.com/office/officeart/2008/layout/NameandTitleOrganizationalChart"/>
    <dgm:cxn modelId="{0A514B3E-A045-44BE-8579-05F776340BBE}" type="presParOf" srcId="{6A4A330E-D55D-4CEF-8FEE-A6E02024DCE5}" destId="{C61C9766-AF95-4DD9-8AE7-FFEB00342AE2}" srcOrd="2" destOrd="0" presId="urn:microsoft.com/office/officeart/2008/layout/NameandTitleOrganizationalChart"/>
    <dgm:cxn modelId="{43966B58-C68F-421B-BD9E-461B892E354F}" type="presParOf" srcId="{38ADACE2-0E8C-466B-A997-8D69244B6748}" destId="{DD6F8F70-25AA-4D52-A945-0FBC3826D918}" srcOrd="1" destOrd="0" presId="urn:microsoft.com/office/officeart/2008/layout/NameandTitleOrganizationalChart"/>
    <dgm:cxn modelId="{B020EDB1-F9B8-41F1-B0AD-A6BB70F0D7AC}" type="presParOf" srcId="{DD6F8F70-25AA-4D52-A945-0FBC3826D918}" destId="{77EB7270-A2E4-4AD6-991A-1491188BCDAC}" srcOrd="0" destOrd="0" presId="urn:microsoft.com/office/officeart/2008/layout/NameandTitleOrganizationalChart"/>
    <dgm:cxn modelId="{DD5205D2-C756-45C4-8428-BC6FDBD00DCD}" type="presParOf" srcId="{DD6F8F70-25AA-4D52-A945-0FBC3826D918}" destId="{6A4F6F2B-E8E5-4AAD-8902-78CC09401D76}" srcOrd="1" destOrd="0" presId="urn:microsoft.com/office/officeart/2008/layout/NameandTitleOrganizationalChart"/>
    <dgm:cxn modelId="{36165849-B6CC-4F88-BC23-D4E9445DEF25}" type="presParOf" srcId="{6A4F6F2B-E8E5-4AAD-8902-78CC09401D76}" destId="{1FE6C125-6C70-4F64-B27D-57FACBF3B148}" srcOrd="0" destOrd="0" presId="urn:microsoft.com/office/officeart/2008/layout/NameandTitleOrganizationalChart"/>
    <dgm:cxn modelId="{9852620E-6253-4AF2-BEFA-6856072D7668}" type="presParOf" srcId="{1FE6C125-6C70-4F64-B27D-57FACBF3B148}" destId="{E8D18034-64A2-4D6E-8D63-341C9A4D4310}" srcOrd="0" destOrd="0" presId="urn:microsoft.com/office/officeart/2008/layout/NameandTitleOrganizationalChart"/>
    <dgm:cxn modelId="{7DD90956-82EF-4978-9969-CF46208A7D07}" type="presParOf" srcId="{1FE6C125-6C70-4F64-B27D-57FACBF3B148}" destId="{79AF57A7-6C4B-4576-AE6E-BD9EF4071B6A}" srcOrd="1" destOrd="0" presId="urn:microsoft.com/office/officeart/2008/layout/NameandTitleOrganizationalChart"/>
    <dgm:cxn modelId="{AB157B4A-70B3-4E76-95EE-64C27E7B8442}" type="presParOf" srcId="{1FE6C125-6C70-4F64-B27D-57FACBF3B148}" destId="{64CE323D-F1DE-4ADE-BD29-45A25C4CDC17}" srcOrd="2" destOrd="0" presId="urn:microsoft.com/office/officeart/2008/layout/NameandTitleOrganizationalChart"/>
    <dgm:cxn modelId="{C94720D7-145C-4AFE-BE66-B9E8DE564431}" type="presParOf" srcId="{6A4F6F2B-E8E5-4AAD-8902-78CC09401D76}" destId="{D345932C-68D9-431C-A616-B424498BE398}" srcOrd="1" destOrd="0" presId="urn:microsoft.com/office/officeart/2008/layout/NameandTitleOrganizationalChart"/>
    <dgm:cxn modelId="{939EA370-E173-48F1-898E-1A0D9B41C4DB}" type="presParOf" srcId="{6A4F6F2B-E8E5-4AAD-8902-78CC09401D76}" destId="{2B563DCC-1C00-429C-8B68-E3FDA7422720}" srcOrd="2" destOrd="0" presId="urn:microsoft.com/office/officeart/2008/layout/NameandTitleOrganizationalChart"/>
    <dgm:cxn modelId="{EAC49A9B-35F0-4AEB-84B2-CBFC263C9B38}" type="presParOf" srcId="{DD6F8F70-25AA-4D52-A945-0FBC3826D918}" destId="{D80CDAE7-34F9-46FD-A30B-6FD69EABE2B6}" srcOrd="2" destOrd="0" presId="urn:microsoft.com/office/officeart/2008/layout/NameandTitleOrganizationalChart"/>
    <dgm:cxn modelId="{62240A3E-594B-47AE-96BA-1BB8A555E65D}" type="presParOf" srcId="{DD6F8F70-25AA-4D52-A945-0FBC3826D918}" destId="{51709D9D-3E45-4ABF-A761-AC05A03DD533}" srcOrd="3" destOrd="0" presId="urn:microsoft.com/office/officeart/2008/layout/NameandTitleOrganizationalChart"/>
    <dgm:cxn modelId="{0C597F94-DCE2-4B91-9DA1-D62C9C2AEA24}" type="presParOf" srcId="{51709D9D-3E45-4ABF-A761-AC05A03DD533}" destId="{71DA73DA-12E6-4438-B365-AF0D2323CAAB}" srcOrd="0" destOrd="0" presId="urn:microsoft.com/office/officeart/2008/layout/NameandTitleOrganizationalChart"/>
    <dgm:cxn modelId="{1F17E1DB-4820-44A3-8F69-0C36B7CED0F7}" type="presParOf" srcId="{71DA73DA-12E6-4438-B365-AF0D2323CAAB}" destId="{D603BB5C-E07A-4A92-A1A7-DA4899436949}" srcOrd="0" destOrd="0" presId="urn:microsoft.com/office/officeart/2008/layout/NameandTitleOrganizationalChart"/>
    <dgm:cxn modelId="{FF28A3C0-91A8-4140-954B-4A23CC73E763}" type="presParOf" srcId="{71DA73DA-12E6-4438-B365-AF0D2323CAAB}" destId="{CC7ED25F-3C55-4708-85EE-810A29C8E92F}" srcOrd="1" destOrd="0" presId="urn:microsoft.com/office/officeart/2008/layout/NameandTitleOrganizationalChart"/>
    <dgm:cxn modelId="{DCC294A7-EB9E-42F7-89F8-B5FE9B3CD096}" type="presParOf" srcId="{71DA73DA-12E6-4438-B365-AF0D2323CAAB}" destId="{6F57DCB5-5216-4CEE-882B-8FEEBBCD9AE8}" srcOrd="2" destOrd="0" presId="urn:microsoft.com/office/officeart/2008/layout/NameandTitleOrganizationalChart"/>
    <dgm:cxn modelId="{52C1DD52-EEF5-419C-ACE5-6B7557E1CA1B}" type="presParOf" srcId="{51709D9D-3E45-4ABF-A761-AC05A03DD533}" destId="{73363C30-B185-4FE8-80FA-FDCAE52A392F}" srcOrd="1" destOrd="0" presId="urn:microsoft.com/office/officeart/2008/layout/NameandTitleOrganizationalChart"/>
    <dgm:cxn modelId="{6FB91C87-9969-45B2-8992-1F5BCFC56A0E}" type="presParOf" srcId="{51709D9D-3E45-4ABF-A761-AC05A03DD533}" destId="{3318E796-73AA-4BD9-AB86-CF9BE5404801}" srcOrd="2" destOrd="0" presId="urn:microsoft.com/office/officeart/2008/layout/NameandTitleOrganizationalChart"/>
    <dgm:cxn modelId="{C0BF0980-823D-4695-B218-CE3AFDF67B45}" type="presParOf" srcId="{38ADACE2-0E8C-466B-A997-8D69244B6748}" destId="{3AA2A920-F6E7-4AC9-8BCC-D71AA1BE8E28}" srcOrd="2" destOrd="0" presId="urn:microsoft.com/office/officeart/2008/layout/NameandTitleOrganizationalChart"/>
    <dgm:cxn modelId="{21D49752-5CB3-486C-BB6D-2CD9BD997DE9}" type="presParOf" srcId="{63678FCF-F48C-49E8-95CD-88DBCEB88A45}" destId="{BBFAF412-3997-4F3B-AA43-F9B1A1D62694}" srcOrd="2" destOrd="0" presId="urn:microsoft.com/office/officeart/2008/layout/NameandTitleOrganizationalChart"/>
    <dgm:cxn modelId="{6184E2E5-C998-428E-B334-0C77D5C0C8F6}" type="presParOf" srcId="{63678FCF-F48C-49E8-95CD-88DBCEB88A45}" destId="{E78575BA-B030-4FCD-AB11-CA94C045FA6A}" srcOrd="3" destOrd="0" presId="urn:microsoft.com/office/officeart/2008/layout/NameandTitleOrganizationalChart"/>
    <dgm:cxn modelId="{F392629D-88DD-41AC-AE71-D32B836B515E}" type="presParOf" srcId="{E78575BA-B030-4FCD-AB11-CA94C045FA6A}" destId="{0F5EF733-B4F8-4843-81E6-9BB0C8CAA6C1}" srcOrd="0" destOrd="0" presId="urn:microsoft.com/office/officeart/2008/layout/NameandTitleOrganizationalChart"/>
    <dgm:cxn modelId="{F78D8E1F-B7C5-498B-9AE1-C60C2F6D8389}" type="presParOf" srcId="{0F5EF733-B4F8-4843-81E6-9BB0C8CAA6C1}" destId="{AEBB0F61-38B9-4321-B5FE-4285648B1E69}" srcOrd="0" destOrd="0" presId="urn:microsoft.com/office/officeart/2008/layout/NameandTitleOrganizationalChart"/>
    <dgm:cxn modelId="{76429AB0-8C1C-4E9D-B155-CDB06FE63FA3}" type="presParOf" srcId="{0F5EF733-B4F8-4843-81E6-9BB0C8CAA6C1}" destId="{DE49EBB6-5927-4F94-908D-CB56B9AB55B3}" srcOrd="1" destOrd="0" presId="urn:microsoft.com/office/officeart/2008/layout/NameandTitleOrganizationalChart"/>
    <dgm:cxn modelId="{7D12AB70-6559-48A3-B5AA-82A2159F99B3}" type="presParOf" srcId="{0F5EF733-B4F8-4843-81E6-9BB0C8CAA6C1}" destId="{C84F322A-0B9B-49B2-AA00-12B120D58556}" srcOrd="2" destOrd="0" presId="urn:microsoft.com/office/officeart/2008/layout/NameandTitleOrganizationalChart"/>
    <dgm:cxn modelId="{82750077-3598-43B3-AC69-9793AD41D82D}" type="presParOf" srcId="{E78575BA-B030-4FCD-AB11-CA94C045FA6A}" destId="{8EB6812E-F1FB-4F5C-8DBD-BBC9DA3ACEE7}" srcOrd="1" destOrd="0" presId="urn:microsoft.com/office/officeart/2008/layout/NameandTitleOrganizationalChart"/>
    <dgm:cxn modelId="{14FC4B09-FE0E-405C-9967-0697770D87E5}" type="presParOf" srcId="{8EB6812E-F1FB-4F5C-8DBD-BBC9DA3ACEE7}" destId="{1D445E34-BBEA-4736-8177-42B7DA9524CF}" srcOrd="0" destOrd="0" presId="urn:microsoft.com/office/officeart/2008/layout/NameandTitleOrganizationalChart"/>
    <dgm:cxn modelId="{0A4F2AB6-CB71-4A3C-BE79-3D51078C2F21}" type="presParOf" srcId="{8EB6812E-F1FB-4F5C-8DBD-BBC9DA3ACEE7}" destId="{2FF4949B-DF07-45CC-AED6-6F0751C4A4F5}" srcOrd="1" destOrd="0" presId="urn:microsoft.com/office/officeart/2008/layout/NameandTitleOrganizationalChart"/>
    <dgm:cxn modelId="{2B7A451C-F5E9-4C9F-8BBC-D61B33062723}" type="presParOf" srcId="{2FF4949B-DF07-45CC-AED6-6F0751C4A4F5}" destId="{77300AA3-AB6A-4DBE-B6FB-3D3276FC1C13}" srcOrd="0" destOrd="0" presId="urn:microsoft.com/office/officeart/2008/layout/NameandTitleOrganizationalChart"/>
    <dgm:cxn modelId="{8D53567C-50DD-4A46-9F57-D5FD54294F49}" type="presParOf" srcId="{77300AA3-AB6A-4DBE-B6FB-3D3276FC1C13}" destId="{FD20FC84-5030-49C6-9BAF-85023B2FEAB4}" srcOrd="0" destOrd="0" presId="urn:microsoft.com/office/officeart/2008/layout/NameandTitleOrganizationalChart"/>
    <dgm:cxn modelId="{529D7F2A-6F27-4050-B643-35E2902AB600}" type="presParOf" srcId="{77300AA3-AB6A-4DBE-B6FB-3D3276FC1C13}" destId="{A81BEED0-8C8C-4D42-9EEE-D846EBDC35D7}" srcOrd="1" destOrd="0" presId="urn:microsoft.com/office/officeart/2008/layout/NameandTitleOrganizationalChart"/>
    <dgm:cxn modelId="{67CFE74C-FBBE-4171-9DBC-B23E6D1BD1F5}" type="presParOf" srcId="{77300AA3-AB6A-4DBE-B6FB-3D3276FC1C13}" destId="{9BE94981-50F6-46C4-876B-F2FD948183B5}" srcOrd="2" destOrd="0" presId="urn:microsoft.com/office/officeart/2008/layout/NameandTitleOrganizationalChart"/>
    <dgm:cxn modelId="{6714E3F6-1A41-4ED2-81BC-A3D83DED820C}" type="presParOf" srcId="{2FF4949B-DF07-45CC-AED6-6F0751C4A4F5}" destId="{452B1B49-364E-4F65-9A11-9990B1C2F8F0}" srcOrd="1" destOrd="0" presId="urn:microsoft.com/office/officeart/2008/layout/NameandTitleOrganizationalChart"/>
    <dgm:cxn modelId="{6137F080-980A-460E-B99C-58399136E5F6}" type="presParOf" srcId="{2FF4949B-DF07-45CC-AED6-6F0751C4A4F5}" destId="{A626EFD2-88B5-400B-8E69-DCFFB88C1A58}" srcOrd="2" destOrd="0" presId="urn:microsoft.com/office/officeart/2008/layout/NameandTitleOrganizationalChart"/>
    <dgm:cxn modelId="{3FF5427F-358B-4F4E-AFFB-DC31D4FE2173}" type="presParOf" srcId="{E78575BA-B030-4FCD-AB11-CA94C045FA6A}" destId="{1FE7BFA9-9D89-43F4-843D-BF3265C1BAE3}" srcOrd="2" destOrd="0" presId="urn:microsoft.com/office/officeart/2008/layout/NameandTitleOrganizationalChart"/>
    <dgm:cxn modelId="{197D416F-FEEA-4FC7-A7D4-6721ADDAC50F}" type="presParOf" srcId="{F507C69F-BC62-4B4E-92D8-4AE069BF6C80}" destId="{E4F74B5A-85F9-468C-91E8-9F99468D7C29}" srcOrd="2" destOrd="0" presId="urn:microsoft.com/office/officeart/2008/layout/NameandTitleOrganizationalChart"/>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D445E34-BBEA-4736-8177-42B7DA9524CF}">
      <dsp:nvSpPr>
        <dsp:cNvPr id="0" name=""/>
        <dsp:cNvSpPr/>
      </dsp:nvSpPr>
      <dsp:spPr>
        <a:xfrm>
          <a:off x="4350156" y="1793715"/>
          <a:ext cx="91440" cy="387854"/>
        </a:xfrm>
        <a:custGeom>
          <a:avLst/>
          <a:gdLst/>
          <a:ahLst/>
          <a:cxnLst/>
          <a:rect l="0" t="0" r="0" b="0"/>
          <a:pathLst>
            <a:path>
              <a:moveTo>
                <a:pt x="45720" y="0"/>
              </a:moveTo>
              <a:lnTo>
                <a:pt x="45720" y="38785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BFAF412-3997-4F3B-AA43-F9B1A1D62694}">
      <dsp:nvSpPr>
        <dsp:cNvPr id="0" name=""/>
        <dsp:cNvSpPr/>
      </dsp:nvSpPr>
      <dsp:spPr>
        <a:xfrm>
          <a:off x="3044273" y="736936"/>
          <a:ext cx="1351602" cy="385491"/>
        </a:xfrm>
        <a:custGeom>
          <a:avLst/>
          <a:gdLst/>
          <a:ahLst/>
          <a:cxnLst/>
          <a:rect l="0" t="0" r="0" b="0"/>
          <a:pathLst>
            <a:path>
              <a:moveTo>
                <a:pt x="0" y="0"/>
              </a:moveTo>
              <a:lnTo>
                <a:pt x="0" y="228858"/>
              </a:lnTo>
              <a:lnTo>
                <a:pt x="1351602" y="228858"/>
              </a:lnTo>
              <a:lnTo>
                <a:pt x="1351602" y="38549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D80CDAE7-34F9-46FD-A30B-6FD69EABE2B6}">
      <dsp:nvSpPr>
        <dsp:cNvPr id="0" name=""/>
        <dsp:cNvSpPr/>
      </dsp:nvSpPr>
      <dsp:spPr>
        <a:xfrm>
          <a:off x="1694330" y="1793715"/>
          <a:ext cx="857896" cy="387854"/>
        </a:xfrm>
        <a:custGeom>
          <a:avLst/>
          <a:gdLst/>
          <a:ahLst/>
          <a:cxnLst/>
          <a:rect l="0" t="0" r="0" b="0"/>
          <a:pathLst>
            <a:path>
              <a:moveTo>
                <a:pt x="0" y="0"/>
              </a:moveTo>
              <a:lnTo>
                <a:pt x="0" y="231221"/>
              </a:lnTo>
              <a:lnTo>
                <a:pt x="857896" y="231221"/>
              </a:lnTo>
              <a:lnTo>
                <a:pt x="857896" y="38785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7EB7270-A2E4-4AD6-991A-1491188BCDAC}">
      <dsp:nvSpPr>
        <dsp:cNvPr id="0" name=""/>
        <dsp:cNvSpPr/>
      </dsp:nvSpPr>
      <dsp:spPr>
        <a:xfrm>
          <a:off x="812772" y="1793715"/>
          <a:ext cx="881557" cy="387854"/>
        </a:xfrm>
        <a:custGeom>
          <a:avLst/>
          <a:gdLst/>
          <a:ahLst/>
          <a:cxnLst/>
          <a:rect l="0" t="0" r="0" b="0"/>
          <a:pathLst>
            <a:path>
              <a:moveTo>
                <a:pt x="881557" y="0"/>
              </a:moveTo>
              <a:lnTo>
                <a:pt x="881557" y="231221"/>
              </a:lnTo>
              <a:lnTo>
                <a:pt x="0" y="231221"/>
              </a:lnTo>
              <a:lnTo>
                <a:pt x="0" y="387854"/>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64DEAEED-0AA9-4D90-B176-DBD99B681761}">
      <dsp:nvSpPr>
        <dsp:cNvPr id="0" name=""/>
        <dsp:cNvSpPr/>
      </dsp:nvSpPr>
      <dsp:spPr>
        <a:xfrm>
          <a:off x="1694330" y="736936"/>
          <a:ext cx="1349943" cy="385491"/>
        </a:xfrm>
        <a:custGeom>
          <a:avLst/>
          <a:gdLst/>
          <a:ahLst/>
          <a:cxnLst/>
          <a:rect l="0" t="0" r="0" b="0"/>
          <a:pathLst>
            <a:path>
              <a:moveTo>
                <a:pt x="1349943" y="0"/>
              </a:moveTo>
              <a:lnTo>
                <a:pt x="1349943" y="228858"/>
              </a:lnTo>
              <a:lnTo>
                <a:pt x="0" y="228858"/>
              </a:lnTo>
              <a:lnTo>
                <a:pt x="0" y="385491"/>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0FEBF31-A256-4CDE-8441-6EDF99B6B4F1}">
      <dsp:nvSpPr>
        <dsp:cNvPr id="0" name=""/>
        <dsp:cNvSpPr/>
      </dsp:nvSpPr>
      <dsp:spPr>
        <a:xfrm>
          <a:off x="1618184" y="65649"/>
          <a:ext cx="2852178" cy="671287"/>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94726" numCol="1" spcCol="1270" anchor="ctr" anchorCtr="0">
          <a:noAutofit/>
        </a:bodyPr>
        <a:lstStyle/>
        <a:p>
          <a:pPr marL="0" lvl="0" indent="0" algn="ctr" defTabSz="400050">
            <a:lnSpc>
              <a:spcPct val="90000"/>
            </a:lnSpc>
            <a:spcBef>
              <a:spcPct val="0"/>
            </a:spcBef>
            <a:spcAft>
              <a:spcPct val="35000"/>
            </a:spcAft>
            <a:buNone/>
          </a:pPr>
          <a:r>
            <a:rPr lang="es-CO" sz="900" b="1" i="0" kern="1200"/>
            <a:t>PROGRAMA DE VIVIENDA DE INTERÉS SOCIAL Y PRIORITARIO RURAL</a:t>
          </a:r>
          <a:endParaRPr lang="es-ES" sz="900" kern="1200"/>
        </a:p>
      </dsp:txBody>
      <dsp:txXfrm>
        <a:off x="1618184" y="65649"/>
        <a:ext cx="2852178" cy="671287"/>
      </dsp:txXfrm>
    </dsp:sp>
    <dsp:sp modelId="{8AB4EEF3-517B-4DEB-A2A0-E7CB5CBB5004}">
      <dsp:nvSpPr>
        <dsp:cNvPr id="0" name=""/>
        <dsp:cNvSpPr/>
      </dsp:nvSpPr>
      <dsp:spPr>
        <a:xfrm>
          <a:off x="2099394" y="590124"/>
          <a:ext cx="1895841" cy="219036"/>
        </a:xfrm>
        <a:prstGeom prst="rect">
          <a:avLst/>
        </a:prstGeom>
        <a:solidFill>
          <a:schemeClr val="accent1">
            <a:alpha val="90000"/>
            <a:tint val="4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ctr" defTabSz="400050">
            <a:lnSpc>
              <a:spcPct val="90000"/>
            </a:lnSpc>
            <a:spcBef>
              <a:spcPct val="0"/>
            </a:spcBef>
            <a:spcAft>
              <a:spcPct val="35000"/>
            </a:spcAft>
            <a:buNone/>
          </a:pPr>
          <a:r>
            <a:rPr lang="es-ES" sz="900" b="1" kern="1200"/>
            <a:t>Vigencia 2000 - 2019</a:t>
          </a:r>
        </a:p>
      </dsp:txBody>
      <dsp:txXfrm>
        <a:off x="2099394" y="590124"/>
        <a:ext cx="1895841" cy="219036"/>
      </dsp:txXfrm>
    </dsp:sp>
    <dsp:sp modelId="{972B18BC-E633-4BCD-BB64-E099042165BF}">
      <dsp:nvSpPr>
        <dsp:cNvPr id="0" name=""/>
        <dsp:cNvSpPr/>
      </dsp:nvSpPr>
      <dsp:spPr>
        <a:xfrm>
          <a:off x="534931" y="1122428"/>
          <a:ext cx="2318797" cy="671287"/>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94726" numCol="1" spcCol="1270" anchor="ctr" anchorCtr="0">
          <a:noAutofit/>
        </a:bodyPr>
        <a:lstStyle/>
        <a:p>
          <a:pPr marL="0" lvl="0" indent="0" algn="ctr" defTabSz="400050">
            <a:lnSpc>
              <a:spcPct val="90000"/>
            </a:lnSpc>
            <a:spcBef>
              <a:spcPct val="0"/>
            </a:spcBef>
            <a:spcAft>
              <a:spcPct val="35000"/>
            </a:spcAft>
            <a:buNone/>
          </a:pPr>
          <a:r>
            <a:rPr lang="es-ES" sz="900" kern="1200"/>
            <a:t>Banco Agrario de Colombia - BAC</a:t>
          </a:r>
        </a:p>
        <a:p>
          <a:pPr marL="0" lvl="0" indent="0" algn="ctr" defTabSz="400050">
            <a:lnSpc>
              <a:spcPct val="90000"/>
            </a:lnSpc>
            <a:spcBef>
              <a:spcPct val="0"/>
            </a:spcBef>
            <a:spcAft>
              <a:spcPct val="35000"/>
            </a:spcAft>
            <a:buNone/>
          </a:pPr>
          <a:r>
            <a:rPr lang="es-ES" sz="900" kern="1200"/>
            <a:t>Vigencias 2000 - 2017</a:t>
          </a:r>
        </a:p>
      </dsp:txBody>
      <dsp:txXfrm>
        <a:off x="534931" y="1122428"/>
        <a:ext cx="2318797" cy="671287"/>
      </dsp:txXfrm>
    </dsp:sp>
    <dsp:sp modelId="{898E2A00-6CD9-4762-9748-182FF9305BA1}">
      <dsp:nvSpPr>
        <dsp:cNvPr id="0" name=""/>
        <dsp:cNvSpPr/>
      </dsp:nvSpPr>
      <dsp:spPr>
        <a:xfrm>
          <a:off x="1091318" y="1644540"/>
          <a:ext cx="1166879" cy="223762"/>
        </a:xfrm>
        <a:prstGeom prst="rect">
          <a:avLst/>
        </a:prstGeom>
        <a:solidFill>
          <a:schemeClr val="accent1">
            <a:alpha val="90000"/>
            <a:tint val="4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ctr" defTabSz="400050">
            <a:lnSpc>
              <a:spcPct val="90000"/>
            </a:lnSpc>
            <a:spcBef>
              <a:spcPct val="0"/>
            </a:spcBef>
            <a:spcAft>
              <a:spcPct val="35000"/>
            </a:spcAft>
            <a:buNone/>
          </a:pPr>
          <a:r>
            <a:rPr lang="es-ES" sz="900" b="1" kern="1200"/>
            <a:t>Entidad Otorgante </a:t>
          </a:r>
        </a:p>
      </dsp:txBody>
      <dsp:txXfrm>
        <a:off x="1091318" y="1644540"/>
        <a:ext cx="1166879" cy="223762"/>
      </dsp:txXfrm>
    </dsp:sp>
    <dsp:sp modelId="{E8D18034-64A2-4D6E-8D63-341C9A4D4310}">
      <dsp:nvSpPr>
        <dsp:cNvPr id="0" name=""/>
        <dsp:cNvSpPr/>
      </dsp:nvSpPr>
      <dsp:spPr>
        <a:xfrm>
          <a:off x="58514" y="2181570"/>
          <a:ext cx="1508516" cy="627526"/>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94726" numCol="1" spcCol="1270" anchor="ctr" anchorCtr="0">
          <a:noAutofit/>
        </a:bodyPr>
        <a:lstStyle/>
        <a:p>
          <a:pPr marL="0" lvl="0" indent="0" algn="ctr" defTabSz="400050">
            <a:lnSpc>
              <a:spcPct val="90000"/>
            </a:lnSpc>
            <a:spcBef>
              <a:spcPct val="0"/>
            </a:spcBef>
            <a:spcAft>
              <a:spcPct val="35000"/>
            </a:spcAft>
            <a:buNone/>
          </a:pPr>
          <a:r>
            <a:rPr lang="es-ES" sz="900" kern="1200"/>
            <a:t>2000-2010 Ejecución por entes territoriales</a:t>
          </a:r>
        </a:p>
        <a:p>
          <a:pPr marL="0" lvl="0" indent="0" algn="ctr" defTabSz="400050">
            <a:lnSpc>
              <a:spcPct val="90000"/>
            </a:lnSpc>
            <a:spcBef>
              <a:spcPct val="0"/>
            </a:spcBef>
            <a:spcAft>
              <a:spcPct val="35000"/>
            </a:spcAft>
            <a:buNone/>
          </a:pPr>
          <a:r>
            <a:rPr lang="es-ES" sz="900" kern="1200"/>
            <a:t>BAC - interventor</a:t>
          </a:r>
        </a:p>
      </dsp:txBody>
      <dsp:txXfrm>
        <a:off x="58514" y="2181570"/>
        <a:ext cx="1508516" cy="627526"/>
      </dsp:txXfrm>
    </dsp:sp>
    <dsp:sp modelId="{79AF57A7-6C4B-4576-AE6E-BD9EF4071B6A}">
      <dsp:nvSpPr>
        <dsp:cNvPr id="0" name=""/>
        <dsp:cNvSpPr/>
      </dsp:nvSpPr>
      <dsp:spPr>
        <a:xfrm>
          <a:off x="202374" y="2758002"/>
          <a:ext cx="1166879" cy="223762"/>
        </a:xfrm>
        <a:prstGeom prst="rect">
          <a:avLst/>
        </a:prstGeom>
        <a:solidFill>
          <a:schemeClr val="accent1">
            <a:alpha val="90000"/>
            <a:tint val="4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ctr" defTabSz="400050">
            <a:lnSpc>
              <a:spcPct val="90000"/>
            </a:lnSpc>
            <a:spcBef>
              <a:spcPct val="0"/>
            </a:spcBef>
            <a:spcAft>
              <a:spcPct val="35000"/>
            </a:spcAft>
            <a:buNone/>
          </a:pPr>
          <a:r>
            <a:rPr lang="es-ES" sz="900" b="1" kern="1200"/>
            <a:t>Contratistas</a:t>
          </a:r>
        </a:p>
      </dsp:txBody>
      <dsp:txXfrm>
        <a:off x="202374" y="2758002"/>
        <a:ext cx="1166879" cy="223762"/>
      </dsp:txXfrm>
    </dsp:sp>
    <dsp:sp modelId="{D603BB5C-E07A-4A92-A1A7-DA4899436949}">
      <dsp:nvSpPr>
        <dsp:cNvPr id="0" name=""/>
        <dsp:cNvSpPr/>
      </dsp:nvSpPr>
      <dsp:spPr>
        <a:xfrm>
          <a:off x="1903960" y="2181570"/>
          <a:ext cx="1296533" cy="671287"/>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94726" numCol="1" spcCol="1270" anchor="ctr" anchorCtr="0">
          <a:noAutofit/>
        </a:bodyPr>
        <a:lstStyle/>
        <a:p>
          <a:pPr marL="0" lvl="0" indent="0" algn="ctr" defTabSz="400050">
            <a:lnSpc>
              <a:spcPct val="90000"/>
            </a:lnSpc>
            <a:spcBef>
              <a:spcPct val="0"/>
            </a:spcBef>
            <a:spcAft>
              <a:spcPct val="35000"/>
            </a:spcAft>
            <a:buNone/>
          </a:pPr>
          <a:r>
            <a:rPr lang="es-ES" sz="900" kern="1200"/>
            <a:t>2011 -2017 Ejecución por Gerencias Integrales</a:t>
          </a:r>
        </a:p>
        <a:p>
          <a:pPr marL="0" lvl="0" indent="0" algn="ctr" defTabSz="400050">
            <a:lnSpc>
              <a:spcPct val="90000"/>
            </a:lnSpc>
            <a:spcBef>
              <a:spcPct val="0"/>
            </a:spcBef>
            <a:spcAft>
              <a:spcPct val="35000"/>
            </a:spcAft>
            <a:buNone/>
          </a:pPr>
          <a:r>
            <a:rPr lang="es-ES" sz="900" kern="1200"/>
            <a:t>BAC - Otorgante</a:t>
          </a:r>
        </a:p>
      </dsp:txBody>
      <dsp:txXfrm>
        <a:off x="1903960" y="2181570"/>
        <a:ext cx="1296533" cy="671287"/>
      </dsp:txXfrm>
    </dsp:sp>
    <dsp:sp modelId="{CC7ED25F-3C55-4708-85EE-810A29C8E92F}">
      <dsp:nvSpPr>
        <dsp:cNvPr id="0" name=""/>
        <dsp:cNvSpPr/>
      </dsp:nvSpPr>
      <dsp:spPr>
        <a:xfrm>
          <a:off x="1972773" y="2769332"/>
          <a:ext cx="1166879" cy="223762"/>
        </a:xfrm>
        <a:prstGeom prst="rect">
          <a:avLst/>
        </a:prstGeom>
        <a:solidFill>
          <a:schemeClr val="accent1">
            <a:alpha val="90000"/>
            <a:tint val="4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ctr" defTabSz="400050">
            <a:lnSpc>
              <a:spcPct val="90000"/>
            </a:lnSpc>
            <a:spcBef>
              <a:spcPct val="0"/>
            </a:spcBef>
            <a:spcAft>
              <a:spcPct val="35000"/>
            </a:spcAft>
            <a:buNone/>
          </a:pPr>
          <a:r>
            <a:rPr lang="es-CO" sz="900" b="1" kern="1200"/>
            <a:t>Contratistas</a:t>
          </a:r>
        </a:p>
      </dsp:txBody>
      <dsp:txXfrm>
        <a:off x="1972773" y="2769332"/>
        <a:ext cx="1166879" cy="223762"/>
      </dsp:txXfrm>
    </dsp:sp>
    <dsp:sp modelId="{AEBB0F61-38B9-4321-B5FE-4285648B1E69}">
      <dsp:nvSpPr>
        <dsp:cNvPr id="0" name=""/>
        <dsp:cNvSpPr/>
      </dsp:nvSpPr>
      <dsp:spPr>
        <a:xfrm>
          <a:off x="3238136" y="1122428"/>
          <a:ext cx="2315478" cy="671287"/>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94726" numCol="1" spcCol="1270" anchor="ctr" anchorCtr="0">
          <a:noAutofit/>
        </a:bodyPr>
        <a:lstStyle/>
        <a:p>
          <a:pPr marL="0" lvl="0" indent="0" algn="ctr" defTabSz="400050">
            <a:lnSpc>
              <a:spcPct val="90000"/>
            </a:lnSpc>
            <a:spcBef>
              <a:spcPct val="0"/>
            </a:spcBef>
            <a:spcAft>
              <a:spcPct val="35000"/>
            </a:spcAft>
            <a:buNone/>
          </a:pPr>
          <a:r>
            <a:rPr lang="es-ES" sz="900" kern="1200"/>
            <a:t>Ministerio de Agricultura y desarrollo Rural - MADR</a:t>
          </a:r>
        </a:p>
        <a:p>
          <a:pPr marL="0" lvl="0" indent="0" algn="ctr" defTabSz="400050">
            <a:lnSpc>
              <a:spcPct val="90000"/>
            </a:lnSpc>
            <a:spcBef>
              <a:spcPct val="0"/>
            </a:spcBef>
            <a:spcAft>
              <a:spcPct val="35000"/>
            </a:spcAft>
            <a:buNone/>
          </a:pPr>
          <a:r>
            <a:rPr lang="es-ES" sz="900" kern="1200"/>
            <a:t>Vigencias 2018 - 2019</a:t>
          </a:r>
        </a:p>
      </dsp:txBody>
      <dsp:txXfrm>
        <a:off x="3238136" y="1122428"/>
        <a:ext cx="2315478" cy="671287"/>
      </dsp:txXfrm>
    </dsp:sp>
    <dsp:sp modelId="{DE49EBB6-5927-4F94-908D-CB56B9AB55B3}">
      <dsp:nvSpPr>
        <dsp:cNvPr id="0" name=""/>
        <dsp:cNvSpPr/>
      </dsp:nvSpPr>
      <dsp:spPr>
        <a:xfrm>
          <a:off x="3826750" y="1644540"/>
          <a:ext cx="1166879" cy="223762"/>
        </a:xfrm>
        <a:prstGeom prst="rect">
          <a:avLst/>
        </a:prstGeom>
        <a:solidFill>
          <a:schemeClr val="accent1">
            <a:alpha val="90000"/>
            <a:tint val="4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ctr" defTabSz="400050">
            <a:lnSpc>
              <a:spcPct val="90000"/>
            </a:lnSpc>
            <a:spcBef>
              <a:spcPct val="0"/>
            </a:spcBef>
            <a:spcAft>
              <a:spcPct val="35000"/>
            </a:spcAft>
            <a:buNone/>
          </a:pPr>
          <a:r>
            <a:rPr lang="es-ES" sz="900" b="1" kern="1200"/>
            <a:t>Entidad Otorgante</a:t>
          </a:r>
        </a:p>
      </dsp:txBody>
      <dsp:txXfrm>
        <a:off x="3826750" y="1644540"/>
        <a:ext cx="1166879" cy="223762"/>
      </dsp:txXfrm>
    </dsp:sp>
    <dsp:sp modelId="{FD20FC84-5030-49C6-9BAF-85023B2FEAB4}">
      <dsp:nvSpPr>
        <dsp:cNvPr id="0" name=""/>
        <dsp:cNvSpPr/>
      </dsp:nvSpPr>
      <dsp:spPr>
        <a:xfrm>
          <a:off x="3513760" y="2181570"/>
          <a:ext cx="1764231" cy="426119"/>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94726" numCol="1" spcCol="1270" anchor="ctr" anchorCtr="0">
          <a:noAutofit/>
        </a:bodyPr>
        <a:lstStyle/>
        <a:p>
          <a:pPr marL="0" lvl="0" indent="0" algn="ctr" defTabSz="400050">
            <a:lnSpc>
              <a:spcPct val="90000"/>
            </a:lnSpc>
            <a:spcBef>
              <a:spcPct val="0"/>
            </a:spcBef>
            <a:spcAft>
              <a:spcPct val="35000"/>
            </a:spcAft>
            <a:buNone/>
          </a:pPr>
          <a:r>
            <a:rPr lang="es-ES" sz="900" kern="1200"/>
            <a:t>FIDUAGRARIA</a:t>
          </a:r>
        </a:p>
        <a:p>
          <a:pPr marL="0" lvl="0" indent="0" algn="ctr" defTabSz="400050">
            <a:lnSpc>
              <a:spcPct val="90000"/>
            </a:lnSpc>
            <a:spcBef>
              <a:spcPct val="0"/>
            </a:spcBef>
            <a:spcAft>
              <a:spcPct val="35000"/>
            </a:spcAft>
            <a:buNone/>
          </a:pPr>
          <a:r>
            <a:rPr lang="es-ES" sz="900" kern="1200"/>
            <a:t>Contratos de fiducia 2019-2018</a:t>
          </a:r>
        </a:p>
      </dsp:txBody>
      <dsp:txXfrm>
        <a:off x="3513760" y="2181570"/>
        <a:ext cx="1764231" cy="426119"/>
      </dsp:txXfrm>
    </dsp:sp>
    <dsp:sp modelId="{A81BEED0-8C8C-4D42-9EEE-D846EBDC35D7}">
      <dsp:nvSpPr>
        <dsp:cNvPr id="0" name=""/>
        <dsp:cNvSpPr/>
      </dsp:nvSpPr>
      <dsp:spPr>
        <a:xfrm>
          <a:off x="3826936" y="2603644"/>
          <a:ext cx="1166879" cy="300591"/>
        </a:xfrm>
        <a:prstGeom prst="rect">
          <a:avLst/>
        </a:prstGeom>
        <a:solidFill>
          <a:schemeClr val="accent1">
            <a:alpha val="90000"/>
            <a:tint val="4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2860" tIns="5715" rIns="22860" bIns="5715" numCol="1" spcCol="1270" anchor="ctr" anchorCtr="0">
          <a:noAutofit/>
        </a:bodyPr>
        <a:lstStyle/>
        <a:p>
          <a:pPr marL="0" lvl="0" indent="0" algn="ctr" defTabSz="400050">
            <a:lnSpc>
              <a:spcPct val="90000"/>
            </a:lnSpc>
            <a:spcBef>
              <a:spcPct val="0"/>
            </a:spcBef>
            <a:spcAft>
              <a:spcPct val="35000"/>
            </a:spcAft>
            <a:buNone/>
          </a:pPr>
          <a:r>
            <a:rPr lang="es-ES" sz="900" b="1" kern="1200"/>
            <a:t>Entidad Operadora</a:t>
          </a:r>
        </a:p>
        <a:p>
          <a:pPr marL="0" lvl="0" indent="0" algn="ctr" defTabSz="400050">
            <a:lnSpc>
              <a:spcPct val="90000"/>
            </a:lnSpc>
            <a:spcBef>
              <a:spcPct val="0"/>
            </a:spcBef>
            <a:spcAft>
              <a:spcPct val="35000"/>
            </a:spcAft>
            <a:buNone/>
          </a:pPr>
          <a:r>
            <a:rPr lang="es-ES" sz="900" b="1" kern="1200"/>
            <a:t>Contratistas</a:t>
          </a:r>
        </a:p>
      </dsp:txBody>
      <dsp:txXfrm>
        <a:off x="3826936" y="2603644"/>
        <a:ext cx="1166879" cy="300591"/>
      </dsp:txXfrm>
    </dsp:sp>
  </dsp:spTree>
</dsp:drawing>
</file>

<file path=word/diagrams/layout1.xml><?xml version="1.0" encoding="utf-8"?>
<dgm:layoutDef xmlns:dgm="http://schemas.openxmlformats.org/drawingml/2006/diagram" xmlns:a="http://schemas.openxmlformats.org/drawingml/2006/main" uniqueId="urn:microsoft.com/office/officeart/2008/layout/NameandTitleOrganizationalChart">
  <dgm:title val=""/>
  <dgm:desc val=""/>
  <dgm:catLst>
    <dgm:cat type="hierarchy" pri="125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1" styleLbl="fgAcc0">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alg type="conn">
                            <dgm:param type="connRout" val="bend"/>
                            <dgm:param type="dim" val="1D"/>
                            <dgm:param type="endSty" val="noArr"/>
                            <dgm:param type="begPts" val="bCtr"/>
                            <dgm:param type="endPts" val="tCtr"/>
                            <dgm:param type="bendPt" val="end"/>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41" func="var" arg="hierBranch" op="equ" val="hang">
                    <dgm:layoutNode name="Name42">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3">
                    <dgm:layoutNode name="Name44">
                      <dgm:choose name="Name45">
                        <dgm:if name="Name46" axis="self" func="depth" op="lte" val="2">
                          <dgm:choose name="Name47">
                            <dgm:if name="Name48" axis="par ch" ptType="node asst" func="cnt" op="gte" val="1">
                              <dgm:alg type="conn">
                                <dgm:param type="connRout" val="bend"/>
                                <dgm:param type="dim" val="1D"/>
                                <dgm:param type="endSty" val="noArr"/>
                                <dgm:param type="begPts" val="bCtr"/>
                                <dgm:param type="endPts" val="midL midR"/>
                              </dgm:alg>
                            </dgm:if>
                            <dgm:else name="Name49">
                              <dgm:alg type="conn">
                                <dgm:param type="connRout" val="bend"/>
                                <dgm:param type="dim" val="1D"/>
                                <dgm:param type="endSty" val="noArr"/>
                                <dgm:param type="begPts" val="bCtr"/>
                                <dgm:param type="endPts" val="midL midR"/>
                                <dgm:param type="srcNode" val="rootConnector1"/>
                              </dgm:alg>
                            </dgm:else>
                          </dgm:choose>
                        </dgm:if>
                        <dgm:else name="Name50">
                          <dgm:choose name="Name51">
                            <dgm:if name="Name52" axis="par ch" ptType="node asst" func="cnt" op="gte" val="1">
                              <dgm:alg type="conn">
                                <dgm:param type="connRout" val="bend"/>
                                <dgm:param type="dim" val="1D"/>
                                <dgm:param type="endSty" val="noArr"/>
                                <dgm:param type="begPts" val="bCtr"/>
                                <dgm:param type="endPts" val="midL midR"/>
                              </dgm:alg>
                            </dgm:if>
                            <dgm:else name="Name53">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54">
                  <dgm:if name="Name55" func="var" arg="hierBranch" op="equ" val="l">
                    <dgm:choose name="Name56">
                      <dgm:if name="Name57"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58">
                        <dgm:alg type="hierRoot">
                          <dgm:param type="hierAlign" val="tR"/>
                        </dgm:alg>
                        <dgm:shape xmlns:r="http://schemas.openxmlformats.org/officeDocument/2006/relationships" r:blip="">
                          <dgm:adjLst/>
                        </dgm:shape>
                        <dgm:presOf/>
                        <dgm:constrLst>
                          <dgm:constr type="alignOff" val="0.25"/>
                        </dgm:constrLst>
                      </dgm:else>
                    </dgm:choose>
                  </dgm:if>
                  <dgm:if name="Name59" func="var" arg="hierBranch" op="equ" val="r">
                    <dgm:choose name="Name60">
                      <dgm:if name="Name61"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2">
                        <dgm:alg type="hierRoot">
                          <dgm:param type="hierAlign" val="tL"/>
                        </dgm:alg>
                        <dgm:shape xmlns:r="http://schemas.openxmlformats.org/officeDocument/2006/relationships" r:blip="">
                          <dgm:adjLst/>
                        </dgm:shape>
                        <dgm:presOf/>
                        <dgm:constrLst>
                          <dgm:constr type="alignOff" val="0.25"/>
                        </dgm:constrLst>
                      </dgm:else>
                    </dgm:choose>
                  </dgm:if>
                  <dgm:if name="Name63"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4"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65">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66">
                    <dgm:if name="Name67" func="var" arg="hierBranch" op="equ" val="init">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68" func="var" arg="hierBranch" op="equ" val="l">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69" func="var" arg="hierBranch" op="equ" val="r">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70">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2" styleLbl="fgAcc1">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71">
                    <dgm:if name="Name72" func="var" arg="hierBranch" op="equ" val="l">
                      <dgm:alg type="hierChild">
                        <dgm:param type="chAlign" val="r"/>
                        <dgm:param type="linDir" val="fromT"/>
                      </dgm:alg>
                    </dgm:if>
                    <dgm:if name="Name73" func="var" arg="hierBranch" op="equ" val="r">
                      <dgm:alg type="hierChild">
                        <dgm:param type="chAlign" val="l"/>
                        <dgm:param type="linDir" val="fromT"/>
                      </dgm:alg>
                    </dgm:if>
                    <dgm:if name="Name74" func="var" arg="hierBranch" op="equ" val="hang">
                      <dgm:choose name="Name75">
                        <dgm:if name="Name76" func="var" arg="dir" op="equ" val="norm">
                          <dgm:alg type="hierChild">
                            <dgm:param type="chAlign" val="l"/>
                            <dgm:param type="linDir" val="fromL"/>
                            <dgm:param type="secChAlign" val="t"/>
                            <dgm:param type="secLinDir" val="fromT"/>
                          </dgm:alg>
                        </dgm:if>
                        <dgm:else name="Name77">
                          <dgm:alg type="hierChild">
                            <dgm:param type="chAlign" val="l"/>
                            <dgm:param type="linDir" val="fromR"/>
                            <dgm:param type="secChAlign" val="t"/>
                            <dgm:param type="secLinDir" val="fromT"/>
                          </dgm:alg>
                        </dgm:else>
                      </dgm:choose>
                    </dgm:if>
                    <dgm:if name="Name78" func="var" arg="hierBranch" op="equ" val="std">
                      <dgm:choose name="Name79">
                        <dgm:if name="Name80" func="var" arg="dir" op="equ" val="norm">
                          <dgm:alg type="hierChild"/>
                        </dgm:if>
                        <dgm:else name="Name81">
                          <dgm:alg type="hierChild">
                            <dgm:param type="linDir" val="fromR"/>
                          </dgm:alg>
                        </dgm:else>
                      </dgm:choose>
                    </dgm:if>
                    <dgm:if name="Name82" func="var" arg="hierBranch" op="equ" val="init">
                      <dgm:choose name="Name83">
                        <dgm:if name="Name84" func="var" arg="dir" op="equ" val="norm">
                          <dgm:alg type="hierChild"/>
                        </dgm:if>
                        <dgm:else name="Name85">
                          <dgm:alg type="hierChild">
                            <dgm:param type="linDir" val="fromR"/>
                          </dgm:alg>
                        </dgm:else>
                      </dgm:choose>
                    </dgm:if>
                    <dgm:else name="Name86"/>
                  </dgm:choose>
                  <dgm:shape xmlns:r="http://schemas.openxmlformats.org/officeDocument/2006/relationships" r:blip="">
                    <dgm:adjLst/>
                  </dgm:shape>
                  <dgm:presOf/>
                  <dgm:constrLst/>
                  <dgm:ruleLst/>
                  <dgm:forEach name="Name87" ref="rep2a"/>
                </dgm:layoutNode>
                <dgm:layoutNode name="hierChild5">
                  <dgm:choose name="Name88">
                    <dgm:if name="Name89" func="var" arg="dir" op="equ" val="norm">
                      <dgm:alg type="hierChild">
                        <dgm:param type="chAlign" val="l"/>
                        <dgm:param type="linDir" val="fromL"/>
                        <dgm:param type="secChAlign" val="t"/>
                        <dgm:param type="secLinDir" val="fromT"/>
                      </dgm:alg>
                    </dgm:if>
                    <dgm:else name="Name90">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91" ref="rep2b"/>
                </dgm:layoutNode>
              </dgm:layoutNode>
            </dgm:forEach>
          </dgm:layoutNode>
          <dgm:layoutNode name="hierChild3">
            <dgm:choose name="Name92">
              <dgm:if name="Name93" func="var" arg="dir" op="equ" val="norm">
                <dgm:alg type="hierChild">
                  <dgm:param type="chAlign" val="l"/>
                  <dgm:param type="linDir" val="fromL"/>
                  <dgm:param type="secChAlign" val="t"/>
                  <dgm:param type="secLinDir" val="fromT"/>
                </dgm:alg>
              </dgm:if>
              <dgm:else name="Name94">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95" axis="precedSib" ptType="parTrans" st="-1" cnt="1">
                <dgm:layoutNode name="Name96">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97">
                  <dgm:if name="Name98" func="var" arg="hierBranch" op="equ" val="l">
                    <dgm:alg type="hierRoot">
                      <dgm:param type="hierAlign" val="tR"/>
                    </dgm:alg>
                    <dgm:shape xmlns:r="http://schemas.openxmlformats.org/officeDocument/2006/relationships" r:blip="">
                      <dgm:adjLst/>
                    </dgm:shape>
                    <dgm:presOf/>
                    <dgm:constrLst>
                      <dgm:constr type="alignOff" val="0.65"/>
                    </dgm:constrLst>
                  </dgm:if>
                  <dgm:if name="Name99" func="var" arg="hierBranch" op="equ" val="r">
                    <dgm:alg type="hierRoot">
                      <dgm:param type="hierAlign" val="tL"/>
                    </dgm:alg>
                    <dgm:shape xmlns:r="http://schemas.openxmlformats.org/officeDocument/2006/relationships" r:blip="">
                      <dgm:adjLst/>
                    </dgm:shape>
                    <dgm:presOf/>
                    <dgm:constrLst>
                      <dgm:constr type="alignOff" val="0.65"/>
                    </dgm:constrLst>
                  </dgm:if>
                  <dgm:if name="Name100" func="var" arg="hierBranch" op="equ" val="hang">
                    <dgm:alg type="hierRoot"/>
                    <dgm:shape xmlns:r="http://schemas.openxmlformats.org/officeDocument/2006/relationships" r:blip="">
                      <dgm:adjLst/>
                    </dgm:shape>
                    <dgm:presOf/>
                    <dgm:constrLst>
                      <dgm:constr type="alignOff" val="0.65"/>
                    </dgm:constrLst>
                  </dgm:if>
                  <dgm:if name="Name101"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02"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103"/>
                </dgm:choose>
                <dgm:ruleLst/>
                <dgm:layoutNode name="rootComposite3">
                  <dgm:alg type="composite"/>
                  <dgm:shape xmlns:r="http://schemas.openxmlformats.org/officeDocument/2006/relationships" r:blip="">
                    <dgm:adjLst/>
                  </dgm:shape>
                  <dgm:presOf axis="self" ptType="node" cnt="1"/>
                  <dgm:choose name="Name104">
                    <dgm:if name="Name105" func="var" arg="hierBranch" op="equ" val="init">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06" func="var" arg="hierBranch" op="equ" val="l">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07" func="var" arg="hierBranch" op="equ" val="r">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08">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styleLbl="asst1">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3" styleLbl="fgAcc2">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09">
                    <dgm:if name="Name110" func="var" arg="hierBranch" op="equ" val="l">
                      <dgm:alg type="hierChild">
                        <dgm:param type="chAlign" val="r"/>
                        <dgm:param type="linDir" val="fromT"/>
                      </dgm:alg>
                    </dgm:if>
                    <dgm:if name="Name111" func="var" arg="hierBranch" op="equ" val="r">
                      <dgm:alg type="hierChild">
                        <dgm:param type="chAlign" val="l"/>
                        <dgm:param type="linDir" val="fromT"/>
                      </dgm:alg>
                    </dgm:if>
                    <dgm:if name="Name112" func="var" arg="hierBranch" op="equ" val="hang">
                      <dgm:choose name="Name113">
                        <dgm:if name="Name114" func="var" arg="dir" op="equ" val="norm">
                          <dgm:alg type="hierChild">
                            <dgm:param type="chAlign" val="l"/>
                            <dgm:param type="linDir" val="fromL"/>
                            <dgm:param type="secChAlign" val="t"/>
                            <dgm:param type="secLinDir" val="fromT"/>
                          </dgm:alg>
                        </dgm:if>
                        <dgm:else name="Name115">
                          <dgm:alg type="hierChild">
                            <dgm:param type="chAlign" val="l"/>
                            <dgm:param type="linDir" val="fromR"/>
                            <dgm:param type="secChAlign" val="t"/>
                            <dgm:param type="secLinDir" val="fromT"/>
                          </dgm:alg>
                        </dgm:else>
                      </dgm:choose>
                    </dgm:if>
                    <dgm:if name="Name116" func="var" arg="hierBranch" op="equ" val="std">
                      <dgm:choose name="Name117">
                        <dgm:if name="Name118" func="var" arg="dir" op="equ" val="norm">
                          <dgm:alg type="hierChild"/>
                        </dgm:if>
                        <dgm:else name="Name119">
                          <dgm:alg type="hierChild">
                            <dgm:param type="linDir" val="fromR"/>
                          </dgm:alg>
                        </dgm:else>
                      </dgm:choose>
                    </dgm:if>
                    <dgm:if name="Name120" func="var" arg="hierBranch" op="equ" val="init">
                      <dgm:alg type="hierChild"/>
                    </dgm:if>
                    <dgm:else name="Name121"/>
                  </dgm:choose>
                  <dgm:shape xmlns:r="http://schemas.openxmlformats.org/officeDocument/2006/relationships" r:blip="">
                    <dgm:adjLst/>
                  </dgm:shape>
                  <dgm:presOf/>
                  <dgm:constrLst/>
                  <dgm:ruleLst/>
                  <dgm:forEach name="Name122" ref="rep2a"/>
                </dgm:layoutNode>
                <dgm:layoutNode name="hierChild7">
                  <dgm:choose name="Name123">
                    <dgm:if name="Name124" func="var" arg="dir" op="equ" val="norm">
                      <dgm:alg type="hierChild">
                        <dgm:param type="chAlign" val="l"/>
                        <dgm:param type="linDir" val="fromL"/>
                        <dgm:param type="secChAlign" val="t"/>
                        <dgm:param type="secLinDir" val="fromT"/>
                      </dgm:alg>
                    </dgm:if>
                    <dgm:else name="Name12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26"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8D59881DE97FB64BB84F8528F0D1BE36" ma:contentTypeVersion="13" ma:contentTypeDescription="Crear nuevo documento." ma:contentTypeScope="" ma:versionID="228f673030dbc0b94318b128ac4c51af">
  <xsd:schema xmlns:xsd="http://www.w3.org/2001/XMLSchema" xmlns:xs="http://www.w3.org/2001/XMLSchema" xmlns:p="http://schemas.microsoft.com/office/2006/metadata/properties" xmlns:ns2="2a2e341e-c469-46fd-aa7f-28614f2a2c0b" xmlns:ns3="12129545-acd7-41a1-8371-63ef41a3410e" targetNamespace="http://schemas.microsoft.com/office/2006/metadata/properties" ma:root="true" ma:fieldsID="6ce39519da0e61a0e702c09b31044433" ns2:_="" ns3:_="">
    <xsd:import namespace="2a2e341e-c469-46fd-aa7f-28614f2a2c0b"/>
    <xsd:import namespace="12129545-acd7-41a1-8371-63ef41a3410e"/>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2e341e-c469-46fd-aa7f-28614f2a2c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c7fce56a-58a0-4cd5-ba5d-684d9b836155"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2129545-acd7-41a1-8371-63ef41a3410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79f9949-f392-4fd4-895d-b84f1ff09587}" ma:internalName="TaxCatchAll" ma:showField="CatchAllData" ma:web="12129545-acd7-41a1-8371-63ef41a3410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12129545-acd7-41a1-8371-63ef41a3410e" xsi:nil="true"/>
    <lcf76f155ced4ddcb4097134ff3c332f xmlns="2a2e341e-c469-46fd-aa7f-28614f2a2c0b">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0DD787-D3C7-4034-B135-C0B572E725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2e341e-c469-46fd-aa7f-28614f2a2c0b"/>
    <ds:schemaRef ds:uri="12129545-acd7-41a1-8371-63ef41a341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01FDC4-CA1F-4DB3-89AD-57DCEE509779}">
  <ds:schemaRefs>
    <ds:schemaRef ds:uri="http://schemas.openxmlformats.org/officeDocument/2006/bibliography"/>
  </ds:schemaRefs>
</ds:datastoreItem>
</file>

<file path=customXml/itemProps3.xml><?xml version="1.0" encoding="utf-8"?>
<ds:datastoreItem xmlns:ds="http://schemas.openxmlformats.org/officeDocument/2006/customXml" ds:itemID="{EFB02403-551E-4DB3-95CD-59A60795578E}">
  <ds:schemaRefs>
    <ds:schemaRef ds:uri="http://schemas.microsoft.com/office/2006/metadata/properties"/>
    <ds:schemaRef ds:uri="http://schemas.microsoft.com/office/infopath/2007/PartnerControls"/>
    <ds:schemaRef ds:uri="12129545-acd7-41a1-8371-63ef41a3410e"/>
    <ds:schemaRef ds:uri="2a2e341e-c469-46fd-aa7f-28614f2a2c0b"/>
  </ds:schemaRefs>
</ds:datastoreItem>
</file>

<file path=customXml/itemProps4.xml><?xml version="1.0" encoding="utf-8"?>
<ds:datastoreItem xmlns:ds="http://schemas.openxmlformats.org/officeDocument/2006/customXml" ds:itemID="{5C8AEA9C-071F-4C0C-B727-7A7A418AC57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42</Pages>
  <Words>14773</Words>
  <Characters>81255</Characters>
  <Application>Microsoft Office Word</Application>
  <DocSecurity>0</DocSecurity>
  <Lines>677</Lines>
  <Paragraphs>191</Paragraphs>
  <ScaleCrop>false</ScaleCrop>
  <HeadingPairs>
    <vt:vector size="2" baseType="variant">
      <vt:variant>
        <vt:lpstr>Título</vt:lpstr>
      </vt:variant>
      <vt:variant>
        <vt:i4>1</vt:i4>
      </vt:variant>
    </vt:vector>
  </HeadingPairs>
  <TitlesOfParts>
    <vt:vector size="1" baseType="lpstr">
      <vt:lpstr>Informe Trimestral 2025</vt:lpstr>
    </vt:vector>
  </TitlesOfParts>
  <Company/>
  <LinksUpToDate>false</LinksUpToDate>
  <CharactersWithSpaces>95837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Trimestral 2025</dc:title>
  <dc:subject>SEGUIMIENTO AL PROGRAMA DE VIVIENDA DE INTERÉS SOCIAL RURAL. ENERO 2026</dc:subject>
  <dc:creator>DIEGO MARIN</dc:creator>
  <cp:keywords/>
  <dc:description/>
  <cp:lastModifiedBy>Jaime Mora Bosiga</cp:lastModifiedBy>
  <cp:revision>14</cp:revision>
  <cp:lastPrinted>2025-12-19T22:25:00Z</cp:lastPrinted>
  <dcterms:created xsi:type="dcterms:W3CDTF">2026-05-08T18:14:00Z</dcterms:created>
  <dcterms:modified xsi:type="dcterms:W3CDTF">2026-05-08T20:07:00Z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0x0101008D59881DE97FB64BB84F8528F0D1BE36</vt:lpwstr>
  </property>
</Properties>
</file>